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B2B" w:rsidRPr="009B5B2B" w:rsidRDefault="009B5B2B" w:rsidP="009B5B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u w:val="single"/>
          <w:lang w:eastAsia="en-IN"/>
        </w:rPr>
      </w:pPr>
      <w:r w:rsidRPr="009B5B2B">
        <w:rPr>
          <w:rFonts w:eastAsia="Times New Roman" w:cs="Times New Roman"/>
          <w:b/>
          <w:bCs/>
          <w:sz w:val="36"/>
          <w:szCs w:val="36"/>
          <w:u w:val="single"/>
          <w:lang w:eastAsia="en-IN"/>
        </w:rPr>
        <w:t>Segment Profiling Summary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5B2B" w:rsidRPr="009B5B2B" w:rsidTr="00E62D57">
        <w:tc>
          <w:tcPr>
            <w:tcW w:w="9016" w:type="dxa"/>
          </w:tcPr>
          <w:p w:rsidR="009B5B2B" w:rsidRPr="009B5B2B" w:rsidRDefault="009B5B2B" w:rsidP="00474D7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9B5B2B" w:rsidRPr="009B5B2B" w:rsidTr="00E62D5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5"/>
              <w:gridCol w:w="1655"/>
              <w:gridCol w:w="1521"/>
              <w:gridCol w:w="1529"/>
              <w:gridCol w:w="1883"/>
              <w:gridCol w:w="1437"/>
            </w:tblGrid>
            <w:tr w:rsidR="00E62D57" w:rsidRPr="009B5B2B" w:rsidTr="00E62D5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Cluster</w:t>
                  </w:r>
                </w:p>
              </w:tc>
              <w:tc>
                <w:tcPr>
                  <w:tcW w:w="1625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Assigned Segment Name</w:t>
                  </w:r>
                </w:p>
              </w:tc>
              <w:tc>
                <w:tcPr>
                  <w:tcW w:w="1336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Key Characteristics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Business Interpretation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Opportunities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Risks</w:t>
                  </w:r>
                </w:p>
              </w:tc>
            </w:tr>
            <w:tr w:rsidR="00E62D57" w:rsidRPr="009B5B2B" w:rsidTr="00E62D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Cluster 0</w:t>
                  </w:r>
                </w:p>
              </w:tc>
              <w:tc>
                <w:tcPr>
                  <w:tcW w:w="1625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Online Banking Customers</w:t>
                  </w:r>
                </w:p>
              </w:tc>
              <w:tc>
                <w:tcPr>
                  <w:tcW w:w="1336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Avg. Transactions: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20.40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Avg. Balance: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₹49,578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Products: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1.97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Digital Adoption: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0.47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100% Online Banking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Customers primarily use online banking services and maintain moderate engagement with the bank. They are comfortable with online self-service.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Promote investment products, credit cards, fixed deposits, and personalized online offers.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Customers may switch to competitors if digital platforms or online services are better elsewhere.</w:t>
                  </w:r>
                </w:p>
              </w:tc>
            </w:tr>
            <w:tr w:rsidR="00E62D57" w:rsidRPr="009B5B2B" w:rsidTr="00E62D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Cluster 1</w:t>
                  </w:r>
                </w:p>
              </w:tc>
              <w:tc>
                <w:tcPr>
                  <w:tcW w:w="1625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Omnichannel</w:t>
                  </w:r>
                  <w:proofErr w:type="spellEnd"/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 xml:space="preserve"> Customers</w:t>
                  </w:r>
                </w:p>
              </w:tc>
              <w:tc>
                <w:tcPr>
                  <w:tcW w:w="1336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Transactions: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19.99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Balance: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₹48,103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Products: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1.98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Digital Adoption: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0.48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, Uses ATM, Branch, Mobile App, and Online Banking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Customers use multiple banking channels depending on their needs. They are flexible and maintain good engagement.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Encourage greater digital adoption, offer bundled products, and provide personalized recommendations across channels.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Inconsistent customer experience across channels could reduce satisfaction.</w:t>
                  </w:r>
                </w:p>
              </w:tc>
            </w:tr>
            <w:tr w:rsidR="00E62D57" w:rsidRPr="009B5B2B" w:rsidTr="00E62D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Cluster 2</w:t>
                  </w:r>
                </w:p>
              </w:tc>
              <w:tc>
                <w:tcPr>
                  <w:tcW w:w="1625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Mobile-First Customers</w:t>
                  </w:r>
                </w:p>
              </w:tc>
              <w:tc>
                <w:tcPr>
                  <w:tcW w:w="1336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Transactions: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20.03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Balance: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₹50,416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Products: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2.02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E62D57">
                    <w:rPr>
                      <w:rFonts w:eastAsia="Times New Roman" w:cs="Times New Roman"/>
                      <w:i/>
                      <w:iCs/>
                      <w:sz w:val="24"/>
                      <w:szCs w:val="24"/>
                      <w:lang w:eastAsia="en-IN"/>
                    </w:rPr>
                    <w:t>(highest)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Digital Adoption: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0.47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100% Mobile 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Customers prefer mobile banking and hold the highest average number of products, indicating strong engagement.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Target with premium digital products, instant loans, investment services, and loyalty rewards.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High expectations for mobile app performance; technical issues could impact retention.</w:t>
                  </w:r>
                </w:p>
              </w:tc>
            </w:tr>
            <w:tr w:rsidR="00E62D57" w:rsidRPr="009B5B2B" w:rsidTr="00E62D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Cluster 3</w:t>
                  </w:r>
                </w:p>
              </w:tc>
              <w:tc>
                <w:tcPr>
                  <w:tcW w:w="1625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Branch &amp; ATM Customers</w:t>
                  </w:r>
                </w:p>
              </w:tc>
              <w:tc>
                <w:tcPr>
                  <w:tcW w:w="1336" w:type="dxa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Transactions: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20.07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Balance: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₹50,622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Products: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1.91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E62D57">
                    <w:rPr>
                      <w:rFonts w:eastAsia="Times New Roman" w:cs="Times New Roman"/>
                      <w:i/>
                      <w:iCs/>
                      <w:sz w:val="24"/>
                      <w:szCs w:val="24"/>
                      <w:lang w:eastAsia="en-IN"/>
                    </w:rPr>
                    <w:lastRenderedPageBreak/>
                    <w:t>(lowest)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 xml:space="preserve">, Digital Adoption: </w:t>
                  </w:r>
                  <w:r w:rsidRPr="00E62D57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0.51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t>, Mostly Branch (51.5%) and ATM (48.5%)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lastRenderedPageBreak/>
                    <w:t xml:space="preserve">Customers rely on traditional banking channels with slightly lower 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product ownership.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lastRenderedPageBreak/>
                    <w:t xml:space="preserve">Promote mobile banking adoption, digital education, and cross-sell 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additional banking products.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B5B2B" w:rsidRPr="009B5B2B" w:rsidRDefault="009B5B2B" w:rsidP="00474D70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</w:pP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lastRenderedPageBreak/>
                    <w:t xml:space="preserve">Higher servicing costs and lower efficiency due </w:t>
                  </w:r>
                  <w:r w:rsidRPr="009B5B2B">
                    <w:rPr>
                      <w:rFonts w:eastAsia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to dependence on physical channels.</w:t>
                  </w:r>
                </w:p>
              </w:tc>
            </w:tr>
          </w:tbl>
          <w:p w:rsidR="009B5B2B" w:rsidRPr="009B5B2B" w:rsidRDefault="009B5B2B">
            <w:pPr>
              <w:rPr>
                <w:sz w:val="24"/>
                <w:szCs w:val="24"/>
              </w:rPr>
            </w:pPr>
          </w:p>
        </w:tc>
      </w:tr>
    </w:tbl>
    <w:p w:rsidR="009B5B2B" w:rsidRPr="009B5B2B" w:rsidRDefault="009B5B2B" w:rsidP="009B5B2B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9B5B2B">
        <w:rPr>
          <w:rFonts w:eastAsia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9B5B2B" w:rsidRPr="009B5B2B" w:rsidRDefault="009B5B2B" w:rsidP="009B5B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IN"/>
        </w:rPr>
      </w:pPr>
      <w:r w:rsidRPr="009B5B2B">
        <w:rPr>
          <w:rFonts w:eastAsia="Times New Roman" w:cs="Times New Roman"/>
          <w:b/>
          <w:bCs/>
          <w:kern w:val="36"/>
          <w:sz w:val="32"/>
          <w:szCs w:val="32"/>
          <w:lang w:eastAsia="en-IN"/>
        </w:rPr>
        <w:t>Cluster-Level Feature Averages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1969"/>
        <w:gridCol w:w="1488"/>
        <w:gridCol w:w="1587"/>
        <w:gridCol w:w="1846"/>
      </w:tblGrid>
      <w:tr w:rsidR="009B5B2B" w:rsidRPr="009B5B2B" w:rsidTr="009B5B2B">
        <w:tc>
          <w:tcPr>
            <w:tcW w:w="0" w:type="auto"/>
            <w:hideMark/>
          </w:tcPr>
          <w:p w:rsidR="009B5B2B" w:rsidRPr="009B5B2B" w:rsidRDefault="009B5B2B" w:rsidP="009B5B2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Cluster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Avg. Transactions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Avg. Balance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Avg. Products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Digital Adoption</w:t>
            </w:r>
          </w:p>
        </w:tc>
      </w:tr>
      <w:tr w:rsidR="009B5B2B" w:rsidRPr="009B5B2B" w:rsidTr="009B5B2B"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20.40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49,578.34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1.97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0.47</w:t>
            </w:r>
          </w:p>
        </w:tc>
      </w:tr>
      <w:tr w:rsidR="009B5B2B" w:rsidRPr="009B5B2B" w:rsidTr="009B5B2B"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19.99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48,102.68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1.98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0.48</w:t>
            </w:r>
          </w:p>
        </w:tc>
      </w:tr>
      <w:tr w:rsidR="009B5B2B" w:rsidRPr="009B5B2B" w:rsidTr="009B5B2B"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20.03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50,415.56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2.02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0.47</w:t>
            </w:r>
          </w:p>
        </w:tc>
      </w:tr>
      <w:tr w:rsidR="009B5B2B" w:rsidRPr="009B5B2B" w:rsidTr="009B5B2B"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20.07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50,621.85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1.91</w:t>
            </w:r>
          </w:p>
        </w:tc>
        <w:tc>
          <w:tcPr>
            <w:tcW w:w="0" w:type="auto"/>
            <w:hideMark/>
          </w:tcPr>
          <w:p w:rsidR="009B5B2B" w:rsidRPr="009B5B2B" w:rsidRDefault="009B5B2B" w:rsidP="009B5B2B">
            <w:pPr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9B5B2B">
              <w:rPr>
                <w:rFonts w:eastAsia="Times New Roman" w:cs="Times New Roman"/>
                <w:sz w:val="24"/>
                <w:szCs w:val="24"/>
                <w:lang w:eastAsia="en-IN"/>
              </w:rPr>
              <w:t>0.51</w:t>
            </w:r>
          </w:p>
        </w:tc>
      </w:tr>
    </w:tbl>
    <w:p w:rsidR="00CB1A40" w:rsidRPr="009B5B2B" w:rsidRDefault="00E62D57">
      <w:pPr>
        <w:rPr>
          <w:sz w:val="24"/>
          <w:szCs w:val="24"/>
        </w:rPr>
      </w:pPr>
    </w:p>
    <w:sectPr w:rsidR="00CB1A40" w:rsidRPr="009B5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B2B"/>
    <w:rsid w:val="009B5B2B"/>
    <w:rsid w:val="00B46749"/>
    <w:rsid w:val="00BA7C75"/>
    <w:rsid w:val="00E6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2A12"/>
  <w15:chartTrackingRefBased/>
  <w15:docId w15:val="{C725EA6F-3BCB-44C8-A224-F55CF01C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B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5B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5B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5B2B"/>
    <w:rPr>
      <w:b/>
      <w:bCs/>
    </w:rPr>
  </w:style>
  <w:style w:type="character" w:styleId="Emphasis">
    <w:name w:val="Emphasis"/>
    <w:basedOn w:val="DefaultParagraphFont"/>
    <w:uiPriority w:val="20"/>
    <w:qFormat/>
    <w:rsid w:val="009B5B2B"/>
    <w:rPr>
      <w:i/>
      <w:iCs/>
    </w:rPr>
  </w:style>
  <w:style w:type="table" w:styleId="TableGrid">
    <w:name w:val="Table Grid"/>
    <w:basedOn w:val="TableNormal"/>
    <w:uiPriority w:val="39"/>
    <w:rsid w:val="009B5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B5B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B5B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9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2026-07-17T08:17:00Z</dcterms:created>
  <dcterms:modified xsi:type="dcterms:W3CDTF">2026-07-17T08:32:00Z</dcterms:modified>
</cp:coreProperties>
</file>