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Mehta &amp; Associates LLP</w:t>
        <w:br/>
      </w:r>
      <w:r>
        <w:t>IN · Payment terms Net 30</w:t>
        <w:br/>
        <w:t>Quotation reference: MA-2026-77</w:t>
        <w:br/>
        <w:t>Our reference: 1014820197-04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Statutory audit support services, FY 2026-27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1185000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1185000</w:t>
            </w:r>
          </w:p>
        </w:tc>
      </w:tr>
    </w:tbl>
    <w:p/>
    <w:p>
      <w:r>
        <w:t>Net total: INR 1185000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24.08.2026</w:t>
        <w:br/>
        <w:t>From: partners@mehtaassociates.example</w:t>
        <w:br/>
        <w:t>Subject: Engagement quotation MA-2026-77</w:t>
        <w:br/>
        <w:br/>
        <w:t>Professional fee Rs 11,85,000 for the financial year, exclusive of GST and out-of-pocket expenses.</w:t>
        <w:br/>
        <w:t>Team of four. Payment in three milestones,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