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COMMERCIAL OFFER</w:t>
      </w:r>
    </w:p>
    <w:p>
      <w:pPr>
        <w:spacing w:after="40"/>
      </w:pPr>
      <w:r>
        <w:rPr>
          <w:b/>
        </w:rPr>
        <w:t xml:space="preserve">Reference </w:t>
      </w:r>
      <w:r>
        <w:t>FUR-2026-002</w:t>
      </w:r>
    </w:p>
    <w:p>
      <w:pPr>
        <w:spacing w:after="40"/>
      </w:pPr>
      <w:r>
        <w:rPr>
          <w:b/>
        </w:rPr>
        <w:t>DEMO DOCUMENT - FOR SOURCEFLOW TESTING ONLY - NOT A REAL PURCHASE OR APPROVAL</w:t>
      </w:r>
    </w:p>
    <w:p>
      <w:pPr>
        <w:spacing w:after="40"/>
      </w:pPr>
      <w:r>
        <w:rPr>
          <w:b/>
        </w:rPr>
        <w:t xml:space="preserve">Supplier </w:t>
      </w:r>
      <w:r>
        <w:t>GHI Office Furniture</w:t>
      </w:r>
    </w:p>
    <w:p>
      <w:pPr>
        <w:spacing w:after="40"/>
      </w:pPr>
      <w:r>
        <w:rPr>
          <w:b/>
        </w:rPr>
        <w:t xml:space="preserve">Customer </w:t>
      </w:r>
      <w:r>
        <w:t>SourceFlow Demo Procurement Team</w:t>
      </w:r>
    </w:p>
    <w:p>
      <w:pPr>
        <w:spacing w:after="40"/>
      </w:pPr>
      <w:r>
        <w:rPr>
          <w:b/>
        </w:rPr>
        <w:t xml:space="preserve">RFQ Reference </w:t>
      </w:r>
      <w:r>
        <w:t>REQ_99_9791</w:t>
      </w:r>
    </w:p>
    <w:p>
      <w:pPr>
        <w:spacing w:after="40"/>
      </w:pPr>
      <w:r>
        <w:rPr>
          <w:b/>
        </w:rPr>
        <w:t xml:space="preserve">Shopping Cart </w:t>
      </w:r>
      <w:r>
        <w:t>1012597812</w:t>
      </w:r>
    </w:p>
    <w:p>
      <w:pPr>
        <w:spacing w:after="40"/>
      </w:pPr>
      <w:r>
        <w:rPr>
          <w:b/>
        </w:rPr>
        <w:t xml:space="preserve">SFO Reference </w:t>
      </w:r>
      <w:r>
        <w:t>SFO-2026-0791</w:t>
      </w:r>
    </w:p>
    <w:p>
      <w:pPr>
        <w:spacing w:after="40"/>
      </w:pPr>
      <w:r>
        <w:rPr>
          <w:b/>
        </w:rPr>
        <w:t xml:space="preserve">Quote Date </w:t>
      </w:r>
      <w:r>
        <w:t>21-Aug-2026</w:t>
      </w:r>
    </w:p>
    <w:p>
      <w:pPr>
        <w:spacing w:after="40"/>
      </w:pPr>
      <w:r>
        <w:rPr>
          <w:b/>
        </w:rPr>
        <w:t xml:space="preserve">Offer Validity </w:t>
      </w:r>
      <w:r>
        <w:t>30 days from quote date</w:t>
      </w:r>
    </w:p>
    <w:p>
      <w:pPr>
        <w:spacing w:after="40"/>
      </w:pPr>
      <w:r>
        <w:rPr>
          <w:b/>
        </w:rPr>
        <w:t xml:space="preserve">Delivery Commitment </w:t>
      </w:r>
      <w:r>
        <w:t>2 to 3 weeks from purchase order</w:t>
      </w:r>
    </w:p>
    <w:p>
      <w:pPr>
        <w:spacing w:after="40"/>
      </w:pPr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Ergonomic Office Chair</w:t>
              <w:br/>
            </w:r>
            <w:r>
              <w:rPr>
                <w:sz w:val="13"/>
              </w:rPr>
              <w:t>Adjustable height; lumbar support; armrests; durable upholstery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31,800.00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795,000.00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Workstation Desk – 1200 mm</w:t>
              <w:br/>
            </w:r>
            <w:r>
              <w:rPr>
                <w:sz w:val="13"/>
              </w:rPr>
              <w:t>1200 mm workstation desk; cable management; durable laminate surface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44,713.33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670,700.00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Mobile Pedestal / Drawer Unit</w:t>
              <w:br/>
            </w:r>
            <w:r>
              <w:rPr>
                <w:sz w:val="13"/>
              </w:rPr>
              <w:t>Mobile pedestal; lockable drawers; castor wheels; workstation storage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19,873.33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298,100.00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Visitor Chair</w:t>
              <w:br/>
            </w:r>
            <w:r>
              <w:rPr>
                <w:sz w:val="13"/>
              </w:rPr>
              <w:t>Upholstered seat/back; sturdy frame; office reception/meeting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9,935.00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198,700.00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Storage Cabinet – 2 Door</w:t>
              <w:br/>
            </w:r>
            <w:r>
              <w:rPr>
                <w:sz w:val="13"/>
              </w:rPr>
              <w:t>Two-door lockable cabinet; powder-coated steel; adjustable shelves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39,750.00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397,500.00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2,360,000.00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424,800.00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INR 2,784,800.00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technical specifications for all furniture items quoted. Final make/model allocation is subject to customer approval.</w:t>
      </w:r>
    </w:p>
    <w:p>
      <w:r>
        <w:rPr>
          <w:b/>
        </w:rPr>
        <w:t>Commercial Notes</w:t>
      </w:r>
    </w:p>
    <w:p>
      <w:r>
        <w:t>Prices include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GHI Office Furniture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21-Aug-2026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