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0"/>
        </w:rPr>
        <w:t>VOLKSWAGEN GROUP</w:t>
        <w:br/>
        <w:t>DIGITAL SOLUTIONS [INDIA]</w:t>
      </w:r>
    </w:p>
    <w:p>
      <w:pPr>
        <w:jc w:val="center"/>
      </w:pPr>
      <w:r>
        <w:rPr>
          <w:rFonts w:ascii="Arial" w:hAnsi="Arial"/>
          <w:b/>
          <w:sz w:val="32"/>
        </w:rPr>
        <w:t>COMMERCIAL OFFER</w:t>
      </w:r>
    </w:p>
    <w:p>
      <w:pPr>
        <w:spacing w:after="40"/>
      </w:pPr>
      <w:r>
        <w:rPr>
          <w:b/>
        </w:rPr>
        <w:t xml:space="preserve">Reference </w:t>
      </w:r>
      <w:r>
        <w:t>FUR-2026-004</w:t>
      </w:r>
    </w:p>
    <w:p>
      <w:pPr>
        <w:spacing w:after="40"/>
      </w:pPr>
      <w:r>
        <w:rPr>
          <w:b/>
        </w:rPr>
        <w:t>DEMO DOCUMENT - FOR SOURCEFLOW TESTING ONLY - NOT A REAL PURCHASE OR APPROVAL</w:t>
      </w:r>
    </w:p>
    <w:p>
      <w:pPr>
        <w:spacing w:after="40"/>
      </w:pPr>
      <w:r>
        <w:rPr>
          <w:b/>
        </w:rPr>
        <w:t xml:space="preserve">Supplier </w:t>
      </w:r>
      <w:r>
        <w:t>MNO Interiors &amp; Furniture</w:t>
      </w:r>
    </w:p>
    <w:p>
      <w:pPr>
        <w:spacing w:after="40"/>
      </w:pPr>
      <w:r>
        <w:rPr>
          <w:b/>
        </w:rPr>
        <w:t xml:space="preserve">Customer </w:t>
      </w:r>
      <w:r>
        <w:t>SourceFlow Demo Procurement Team</w:t>
      </w:r>
    </w:p>
    <w:p>
      <w:pPr>
        <w:spacing w:after="40"/>
      </w:pPr>
      <w:r>
        <w:rPr>
          <w:b/>
        </w:rPr>
        <w:t xml:space="preserve">RFQ Reference </w:t>
      </w:r>
      <w:r>
        <w:t>REQ_99_9791</w:t>
      </w:r>
    </w:p>
    <w:p>
      <w:pPr>
        <w:spacing w:after="40"/>
      </w:pPr>
      <w:r>
        <w:rPr>
          <w:b/>
        </w:rPr>
        <w:t xml:space="preserve">Shopping Cart </w:t>
      </w:r>
      <w:r>
        <w:t>1012597812</w:t>
      </w:r>
    </w:p>
    <w:p>
      <w:pPr>
        <w:spacing w:after="40"/>
      </w:pPr>
      <w:r>
        <w:rPr>
          <w:b/>
        </w:rPr>
        <w:t xml:space="preserve">SFO Reference </w:t>
      </w:r>
      <w:r>
        <w:t>SFO-2026-0791</w:t>
      </w:r>
    </w:p>
    <w:p>
      <w:pPr>
        <w:spacing w:after="40"/>
      </w:pPr>
      <w:r>
        <w:rPr>
          <w:b/>
        </w:rPr>
        <w:t xml:space="preserve">Quote Date </w:t>
      </w:r>
      <w:r>
        <w:t>21-Aug-2026</w:t>
      </w:r>
    </w:p>
    <w:p>
      <w:pPr>
        <w:spacing w:after="40"/>
      </w:pPr>
      <w:r>
        <w:rPr>
          <w:b/>
        </w:rPr>
        <w:t xml:space="preserve">Offer Validity </w:t>
      </w:r>
      <w:r>
        <w:t>30 days from quote date</w:t>
      </w:r>
    </w:p>
    <w:p>
      <w:pPr>
        <w:spacing w:after="40"/>
      </w:pPr>
      <w:r>
        <w:rPr>
          <w:b/>
        </w:rPr>
        <w:t xml:space="preserve">Delivery Commitment </w:t>
      </w:r>
      <w:r>
        <w:t>2 to 3 weeks from purchase order</w:t>
      </w:r>
    </w:p>
    <w:p>
      <w:pPr>
        <w:spacing w:after="40"/>
      </w:pPr>
      <w:r>
        <w:rPr>
          <w:b/>
        </w:rPr>
        <w:t xml:space="preserve">Payment Terms </w:t>
      </w:r>
      <w:r>
        <w:t>30 days from invoice and acceptance</w:t>
      </w:r>
    </w:p>
    <w:p>
      <w:r>
        <w:rPr>
          <w:b/>
        </w:rPr>
        <w:t>Commercial Offer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D9E1E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Item Description / Specification</w:t>
            </w:r>
          </w:p>
        </w:tc>
        <w:tc>
          <w:tcPr>
            <w:tcW w:type="dxa" w:w="2664"/>
            <w:vAlign w:val="center"/>
            <w:shd w:fill="D9E1E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Qty</w:t>
            </w:r>
          </w:p>
        </w:tc>
        <w:tc>
          <w:tcPr>
            <w:tcW w:type="dxa" w:w="2664"/>
            <w:vAlign w:val="center"/>
            <w:shd w:fill="D9E1E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Unit Price</w:t>
            </w:r>
          </w:p>
        </w:tc>
        <w:tc>
          <w:tcPr>
            <w:tcW w:type="dxa" w:w="2664"/>
            <w:vAlign w:val="center"/>
            <w:shd w:fill="D9E1E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Amount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b/>
                <w:sz w:val="14"/>
              </w:rPr>
              <w:t>Ergonomic Office Chair</w:t>
              <w:br/>
            </w:r>
            <w:r>
              <w:rPr>
                <w:sz w:val="13"/>
              </w:rPr>
              <w:t>Adjustable height; lumbar support; armrests; durable upholstery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25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32,336.00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808,400.00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b/>
                <w:sz w:val="14"/>
              </w:rPr>
              <w:t>Workstation Desk – 1200 mm</w:t>
              <w:br/>
            </w:r>
            <w:r>
              <w:rPr>
                <w:sz w:val="13"/>
              </w:rPr>
              <w:t>1200 mm workstation desk; cable management; durable laminate surface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15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45,473.33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682,100.00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b/>
                <w:sz w:val="14"/>
              </w:rPr>
              <w:t>Mobile Pedestal / Drawer Unit</w:t>
              <w:br/>
            </w:r>
            <w:r>
              <w:rPr>
                <w:sz w:val="13"/>
              </w:rPr>
              <w:t>Mobile pedestal; lockable drawers; castor wheels; workstation storage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15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20,213.33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303,200.00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b/>
                <w:sz w:val="14"/>
              </w:rPr>
              <w:t>Visitor Chair</w:t>
              <w:br/>
            </w:r>
            <w:r>
              <w:rPr>
                <w:sz w:val="13"/>
              </w:rPr>
              <w:t>Upholstered seat/back; sturdy frame; office reception/meeting use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20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10,105.00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202,100.00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Storage Cabinet – 2 Door</w:t>
              <w:br/>
            </w:r>
            <w:r>
              <w:rPr>
                <w:sz w:val="13"/>
              </w:rPr>
              <w:t>Two-door lockable cabinet; powder-coated steel; adjustable shelves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40,420.00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404,200.00</w:t>
            </w:r>
          </w:p>
        </w:tc>
      </w:tr>
      <w:tr>
        <w:tc>
          <w:tcPr>
            <w:tcW w:type="dxa" w:w="7992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Subtotal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2,400,000.00</w:t>
            </w:r>
          </w:p>
        </w:tc>
      </w:tr>
      <w:tr>
        <w:tc>
          <w:tcPr>
            <w:tcW w:type="dxa" w:w="7992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GST @ 18%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432,000.00</w:t>
            </w:r>
          </w:p>
        </w:tc>
      </w:tr>
      <w:tr>
        <w:tc>
          <w:tcPr>
            <w:tcW w:type="dxa" w:w="7992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Grand Total (including GST)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INR 2,832,000.00</w:t>
            </w:r>
          </w:p>
        </w:tc>
      </w:tr>
    </w:tbl>
    <w:p>
      <w:r>
        <w:rPr>
          <w:b/>
        </w:rPr>
        <w:t>Technical Compliance</w:t>
      </w:r>
    </w:p>
    <w:p>
      <w:r>
        <w:t>The supplier confirms compliance with the stated minimum technical specifications for all furniture items quoted. Final make/model allocation is subject to customer approval.</w:t>
      </w:r>
    </w:p>
    <w:p>
      <w:r>
        <w:rPr>
          <w:b/>
        </w:rPr>
        <w:t>Commercial Notes</w:t>
      </w:r>
    </w:p>
    <w:p>
      <w:r>
        <w:t>Prices include packing, freight, insurance, and delivery to Gurgaon. GST is shown separately. This quotation is fictional and created only for testing.</w:t>
      </w:r>
    </w:p>
    <w:p>
      <w:r>
        <w:rPr>
          <w:b/>
        </w:rPr>
        <w:t>For the supplier</w:t>
      </w:r>
    </w:p>
    <w:p>
      <w:r>
        <w:t>Authorized Signatory</w:t>
        <w:br/>
        <w:t>MNO Interiors &amp; Furniture</w:t>
        <w:br/>
        <w:t>Digitally signed - Demo</w:t>
      </w:r>
    </w:p>
    <w:p>
      <w:r>
        <w:rPr>
          <w:b/>
        </w:rPr>
        <w:t>Received for evaluation</w:t>
      </w:r>
    </w:p>
    <w:p>
      <w:r>
        <w:t>SourceFlow Demo</w:t>
        <w:br/>
        <w:t>Date: 21-Aug-2026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