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APPROVED SHOPPING CART</w:t>
      </w:r>
    </w:p>
    <w:p>
      <w:pPr>
        <w:spacing w:after="20"/>
      </w:pPr>
      <w:r>
        <w:rPr>
          <w:b/>
        </w:rPr>
        <w:t xml:space="preserve">Shopping Cart: </w:t>
      </w:r>
      <w:r>
        <w:t>1012597822</w:t>
      </w:r>
    </w:p>
    <w:p>
      <w:pPr>
        <w:spacing w:after="20"/>
      </w:pPr>
      <w:r>
        <w:rPr>
          <w:b/>
        </w:rPr>
        <w:t xml:space="preserve">Date: </w:t>
      </w:r>
      <w:r>
        <w:t>09.09.2026</w:t>
      </w:r>
    </w:p>
    <w:p>
      <w:pPr>
        <w:spacing w:after="20"/>
      </w:pPr>
      <w:r>
        <w:rPr>
          <w:b/>
        </w:rPr>
        <w:t xml:space="preserve">Requestor: </w:t>
      </w:r>
      <w:r>
        <w:t>Vedanti Adsare</w:t>
      </w:r>
    </w:p>
    <w:p>
      <w:pPr>
        <w:spacing w:after="20"/>
      </w:pPr>
      <w:r>
        <w:rPr>
          <w:b/>
        </w:rPr>
        <w:t xml:space="preserve">Department: </w:t>
      </w:r>
      <w:r>
        <w:t>HR</w:t>
      </w:r>
    </w:p>
    <w:p>
      <w:pPr>
        <w:spacing w:after="20"/>
      </w:pPr>
      <w:r>
        <w:rPr>
          <w:b/>
        </w:rPr>
        <w:t xml:space="preserve">Cost Center: </w:t>
      </w:r>
      <w:r>
        <w:t>3008</w:t>
      </w:r>
    </w:p>
    <w:p>
      <w:pPr>
        <w:spacing w:after="20"/>
      </w:pPr>
      <w:r>
        <w:rPr>
          <w:b/>
        </w:rPr>
        <w:t xml:space="preserve">Employee Code: </w:t>
      </w:r>
      <w:r>
        <w:t>107689</w:t>
      </w:r>
    </w:p>
    <w:p>
      <w:pPr>
        <w:spacing w:after="20"/>
      </w:pPr>
      <w:r>
        <w:rPr>
          <w:b/>
        </w:rPr>
        <w:t xml:space="preserve">Delivery Location: </w:t>
      </w:r>
      <w:r>
        <w:t>Pune - Ganges</w:t>
      </w:r>
    </w:p>
    <w:p>
      <w:pPr>
        <w:spacing w:after="20"/>
      </w:pPr>
      <w:r>
        <w:rPr>
          <w:b/>
        </w:rPr>
        <w:t xml:space="preserve">Sourcing Type: </w:t>
      </w:r>
      <w:r>
        <w:t>Service</w:t>
      </w:r>
    </w:p>
    <w:p>
      <w:pPr>
        <w:spacing w:after="20"/>
      </w:pPr>
      <w:r>
        <w:rPr>
          <w:b/>
        </w:rPr>
        <w:t xml:space="preserve">Expense Commodity: </w:t>
      </w:r>
      <w:r>
        <w:t>Facility / pantry services</w:t>
      </w:r>
    </w:p>
    <w:p>
      <w:pPr>
        <w:spacing w:after="20"/>
      </w:pPr>
      <w:r>
        <w:rPr>
          <w:b/>
        </w:rPr>
        <w:t xml:space="preserve">Topic: </w:t>
      </w:r>
      <w:r>
        <w:t>Pantry Vending Machine Operation &amp; Preventive Maintenance Service</w:t>
      </w:r>
    </w:p>
    <w:p>
      <w:pPr>
        <w:spacing w:after="20"/>
      </w:pPr>
      <w:r>
        <w:rPr>
          <w:b/>
        </w:rPr>
        <w:t xml:space="preserve">Service Period: </w:t>
      </w:r>
      <w:r>
        <w:t>01.10.2026 to 30.09.2027</w:t>
      </w:r>
    </w:p>
    <w:p>
      <w:pPr>
        <w:spacing w:after="20"/>
      </w:pPr>
      <w:r>
        <w:rPr>
          <w:b/>
        </w:rPr>
        <w:t xml:space="preserve">Required By: </w:t>
      </w:r>
      <w:r>
        <w:t>30.09.2026</w:t>
      </w:r>
    </w:p>
    <w:p>
      <w:pPr>
        <w:spacing w:after="20"/>
      </w:pPr>
      <w:r>
        <w:rPr>
          <w:b/>
        </w:rPr>
        <w:t xml:space="preserve">Currency: </w:t>
      </w:r>
      <w:r>
        <w:t>INR</w:t>
      </w:r>
    </w:p>
    <w:p>
      <w:pPr>
        <w:spacing w:after="20"/>
      </w:pPr>
      <w:r>
        <w:rPr>
          <w:b/>
        </w:rPr>
        <w:t xml:space="preserve">SC Net Value: </w:t>
      </w:r>
      <w:r>
        <w:t>INR 277,000.00</w:t>
      </w:r>
    </w:p>
    <w:p>
      <w:pPr>
        <w:spacing w:after="20"/>
      </w:pPr>
      <w:r>
        <w:rPr>
          <w:b/>
        </w:rPr>
        <w:t xml:space="preserve">GST @ 18%: </w:t>
      </w:r>
      <w:r>
        <w:t>INR 49,860.00</w:t>
      </w:r>
    </w:p>
    <w:p>
      <w:pPr>
        <w:spacing w:after="20"/>
      </w:pPr>
      <w:r>
        <w:rPr>
          <w:b/>
        </w:rPr>
        <w:t xml:space="preserve">SC Total incl. GST: </w:t>
      </w:r>
      <w:r>
        <w:t>INR 326,860.00</w:t>
      </w:r>
    </w:p>
    <w:p>
      <w:r>
        <w:rPr>
          <w:b/>
          <w:sz w:val="22"/>
        </w:rPr>
        <w:t>Business Requirement</w:t>
      </w:r>
    </w:p>
    <w:p>
      <w:r>
        <w:t>Annual maintenance and breakdown-support service for pantry vending equipment used at the Pune office. The service is intended to maintain equipment availability, hygiene and timely resolution of breakdowns.</w:t>
      </w:r>
    </w:p>
    <w:p>
      <w:r>
        <w:rPr>
          <w:b/>
          <w:sz w:val="22"/>
        </w:rPr>
        <w:t>Service Conditions</w:t>
      </w:r>
    </w:p>
    <w:p>
      <w:pPr>
        <w:pStyle w:val="ListBullet"/>
      </w:pPr>
      <w:r>
        <w:t>Preventive maintenance shall be scheduled with the office/facilities contact.</w:t>
      </w:r>
    </w:p>
    <w:p>
      <w:pPr>
        <w:pStyle w:val="ListBullet"/>
      </w:pPr>
      <w:r>
        <w:t>Breakdown requests shall be logged through the designated HR/facilities contact.</w:t>
      </w:r>
    </w:p>
    <w:p>
      <w:pPr>
        <w:pStyle w:val="ListBullet"/>
      </w:pPr>
      <w:r>
        <w:t>Supplier shall provide a service report after each scheduled maintenance or breakdown visit.</w:t>
      </w:r>
    </w:p>
    <w:p>
      <w:pPr>
        <w:pStyle w:val="ListBullet"/>
      </w:pPr>
      <w:r>
        <w:t>Spare parts, replacement components and consumables are excluded unless separately quoted and approved.</w:t>
      </w:r>
    </w:p>
    <w:p>
      <w:pPr>
        <w:pStyle w:val="ListBullet"/>
      </w:pPr>
      <w:r>
        <w:t>Service shall be performed without unreasonable disruption to office operations.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rPr>
          <w:tblHeader w:val="true"/>
        </w:trPr>
        <w:tc>
          <w:tcPr>
            <w:tcW w:type="dxa" w:w="1800"/>
            <w:shd w:fill="D9EAF7"/>
          </w:tcPr>
          <w:p>
            <w:r>
              <w:rPr>
                <w:b/>
              </w:rPr>
              <w:t>Pos.</w:t>
            </w:r>
          </w:p>
        </w:tc>
        <w:tc>
          <w:tcPr>
            <w:tcW w:type="dxa" w:w="1800"/>
            <w:shd w:fill="D9EAF7"/>
          </w:tcPr>
          <w:p>
            <w:r>
              <w:rPr>
                <w:b/>
              </w:rPr>
              <w:t>Order Quantity</w:t>
            </w:r>
          </w:p>
        </w:tc>
        <w:tc>
          <w:tcPr>
            <w:tcW w:type="dxa" w:w="1800"/>
            <w:shd w:fill="D9EAF7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800"/>
            <w:shd w:fill="D9EAF7"/>
          </w:tcPr>
          <w:p>
            <w:r>
              <w:rPr>
                <w:b/>
              </w:rPr>
              <w:t>Service Description</w:t>
            </w:r>
          </w:p>
        </w:tc>
        <w:tc>
          <w:tcPr>
            <w:tcW w:type="dxa" w:w="1800"/>
            <w:shd w:fill="D9EAF7"/>
          </w:tcPr>
          <w:p>
            <w:r>
              <w:rPr>
                <w:b/>
              </w:rPr>
              <w:t>Rate / Unit</w:t>
            </w:r>
          </w:p>
        </w:tc>
        <w:tc>
          <w:tcPr>
            <w:tcW w:type="dxa" w:w="1800"/>
            <w:shd w:fill="D9EAF7"/>
          </w:tcPr>
          <w:p>
            <w:r>
              <w:rPr>
                <w:b/>
              </w:rPr>
              <w:t>Net Value</w:t>
            </w:r>
          </w:p>
        </w:tc>
      </w:tr>
      <w:tr>
        <w:tc>
          <w:tcPr>
            <w:tcW w:type="dxa" w:w="1800"/>
            <w:vAlign w:val="center"/>
          </w:tcPr>
          <w:p>
            <w:r>
              <w:t>1</w:t>
            </w:r>
          </w:p>
        </w:tc>
        <w:tc>
          <w:tcPr>
            <w:tcW w:type="dxa" w:w="1800"/>
            <w:vAlign w:val="center"/>
          </w:tcPr>
          <w:p>
            <w:r>
              <w:t>6</w:t>
            </w:r>
          </w:p>
        </w:tc>
        <w:tc>
          <w:tcPr>
            <w:tcW w:type="dxa" w:w="1800"/>
            <w:vAlign w:val="center"/>
          </w:tcPr>
          <w:p>
            <w:r>
              <w:t>Machine</w:t>
            </w:r>
          </w:p>
        </w:tc>
        <w:tc>
          <w:tcPr>
            <w:tcW w:type="dxa" w:w="1800"/>
            <w:vAlign w:val="center"/>
          </w:tcPr>
          <w:p>
            <w:r>
              <w:t>Hot Beverage Vending Machine - Preventive Maintenance</w:t>
              <w:br/>
              <w:t>Scheduled preventive maintenance, cleaning, inspection and functional testing of hot beverage vending machines</w:t>
            </w:r>
          </w:p>
        </w:tc>
        <w:tc>
          <w:tcPr>
            <w:tcW w:type="dxa" w:w="1800"/>
            <w:vAlign w:val="center"/>
          </w:tcPr>
          <w:p>
            <w:r>
              <w:t>INR 18,000.00</w:t>
            </w:r>
          </w:p>
        </w:tc>
        <w:tc>
          <w:tcPr>
            <w:tcW w:type="dxa" w:w="1800"/>
            <w:vAlign w:val="center"/>
          </w:tcPr>
          <w:p>
            <w:r>
              <w:t>INR 108,000.00</w:t>
            </w:r>
          </w:p>
        </w:tc>
      </w:tr>
      <w:tr>
        <w:tc>
          <w:tcPr>
            <w:tcW w:type="dxa" w:w="1800"/>
            <w:vAlign w:val="center"/>
          </w:tcPr>
          <w:p>
            <w:r>
              <w:t>2</w:t>
            </w:r>
          </w:p>
        </w:tc>
        <w:tc>
          <w:tcPr>
            <w:tcW w:type="dxa" w:w="1800"/>
            <w:vAlign w:val="center"/>
          </w:tcPr>
          <w:p>
            <w:r>
              <w:t>6</w:t>
            </w:r>
          </w:p>
        </w:tc>
        <w:tc>
          <w:tcPr>
            <w:tcW w:type="dxa" w:w="1800"/>
            <w:vAlign w:val="center"/>
          </w:tcPr>
          <w:p>
            <w:r>
              <w:t>Machine</w:t>
            </w:r>
          </w:p>
        </w:tc>
        <w:tc>
          <w:tcPr>
            <w:tcW w:type="dxa" w:w="1800"/>
            <w:vAlign w:val="center"/>
          </w:tcPr>
          <w:p>
            <w:r>
              <w:t>Hot Beverage Vending Machine - Breakdown Support</w:t>
              <w:br/>
              <w:t>On-call breakdown support, fault diagnosis and minor repair labour for hot beverage vending machines</w:t>
            </w:r>
          </w:p>
        </w:tc>
        <w:tc>
          <w:tcPr>
            <w:tcW w:type="dxa" w:w="1800"/>
            <w:vAlign w:val="center"/>
          </w:tcPr>
          <w:p>
            <w:r>
              <w:t>INR 12,000.00</w:t>
            </w:r>
          </w:p>
        </w:tc>
        <w:tc>
          <w:tcPr>
            <w:tcW w:type="dxa" w:w="1800"/>
            <w:vAlign w:val="center"/>
          </w:tcPr>
          <w:p>
            <w:r>
              <w:t>INR 72,000.00</w:t>
            </w:r>
          </w:p>
        </w:tc>
      </w:tr>
      <w:tr>
        <w:tc>
          <w:tcPr>
            <w:tcW w:type="dxa" w:w="1800"/>
            <w:vAlign w:val="center"/>
          </w:tcPr>
          <w:p>
            <w:r>
              <w:t>3</w:t>
            </w:r>
          </w:p>
        </w:tc>
        <w:tc>
          <w:tcPr>
            <w:tcW w:type="dxa" w:w="1800"/>
            <w:vAlign w:val="center"/>
          </w:tcPr>
          <w:p>
            <w:r>
              <w:t>4</w:t>
            </w:r>
          </w:p>
        </w:tc>
        <w:tc>
          <w:tcPr>
            <w:tcW w:type="dxa" w:w="1800"/>
            <w:vAlign w:val="center"/>
          </w:tcPr>
          <w:p>
            <w:r>
              <w:t>Machine</w:t>
            </w:r>
          </w:p>
        </w:tc>
        <w:tc>
          <w:tcPr>
            <w:tcW w:type="dxa" w:w="1800"/>
            <w:vAlign w:val="center"/>
          </w:tcPr>
          <w:p>
            <w:r>
              <w:t>Water Dispenser - Preventive Maintenance</w:t>
              <w:br/>
              <w:t>Quarterly preventive maintenance, sanitization, inspection and functional testing of water dispensers</w:t>
            </w:r>
          </w:p>
        </w:tc>
        <w:tc>
          <w:tcPr>
            <w:tcW w:type="dxa" w:w="1800"/>
            <w:vAlign w:val="center"/>
          </w:tcPr>
          <w:p>
            <w:r>
              <w:t>INR 9,500.00</w:t>
            </w:r>
          </w:p>
        </w:tc>
        <w:tc>
          <w:tcPr>
            <w:tcW w:type="dxa" w:w="1800"/>
            <w:vAlign w:val="center"/>
          </w:tcPr>
          <w:p>
            <w:r>
              <w:t>INR 38,000.00</w:t>
            </w:r>
          </w:p>
        </w:tc>
      </w:tr>
      <w:tr>
        <w:tc>
          <w:tcPr>
            <w:tcW w:type="dxa" w:w="1800"/>
            <w:vAlign w:val="center"/>
          </w:tcPr>
          <w:p>
            <w:r>
              <w:t>4</w:t>
            </w:r>
          </w:p>
        </w:tc>
        <w:tc>
          <w:tcPr>
            <w:tcW w:type="dxa" w:w="1800"/>
            <w:vAlign w:val="center"/>
          </w:tcPr>
          <w:p>
            <w:r>
              <w:t>6</w:t>
            </w:r>
          </w:p>
        </w:tc>
        <w:tc>
          <w:tcPr>
            <w:tcW w:type="dxa" w:w="1800"/>
            <w:vAlign w:val="center"/>
          </w:tcPr>
          <w:p>
            <w:r>
              <w:t>Service</w:t>
            </w:r>
          </w:p>
        </w:tc>
        <w:tc>
          <w:tcPr>
            <w:tcW w:type="dxa" w:w="1800"/>
            <w:vAlign w:val="center"/>
          </w:tcPr>
          <w:p>
            <w:r>
              <w:t>Vending Equipment Deep Cleaning</w:t>
              <w:br/>
              <w:t>Quarterly deep cleaning and hygiene service for pantry vending equipment</w:t>
            </w:r>
          </w:p>
        </w:tc>
        <w:tc>
          <w:tcPr>
            <w:tcW w:type="dxa" w:w="1800"/>
            <w:vAlign w:val="center"/>
          </w:tcPr>
          <w:p>
            <w:r>
              <w:t>INR 6,500.00</w:t>
            </w:r>
          </w:p>
        </w:tc>
        <w:tc>
          <w:tcPr>
            <w:tcW w:type="dxa" w:w="1800"/>
            <w:vAlign w:val="center"/>
          </w:tcPr>
          <w:p>
            <w:r>
              <w:t>INR 39,000.00</w:t>
            </w:r>
          </w:p>
        </w:tc>
      </w:tr>
      <w:tr>
        <w:tc>
          <w:tcPr>
            <w:tcW w:type="dxa" w:w="1800"/>
            <w:vAlign w:val="center"/>
          </w:tcPr>
          <w:p>
            <w:r>
              <w:t>5</w:t>
            </w:r>
          </w:p>
        </w:tc>
        <w:tc>
          <w:tcPr>
            <w:tcW w:type="dxa" w:w="1800"/>
            <w:vAlign w:val="center"/>
          </w:tcPr>
          <w:p>
            <w:r>
              <w:t>8</w:t>
            </w:r>
          </w:p>
        </w:tc>
        <w:tc>
          <w:tcPr>
            <w:tcW w:type="dxa" w:w="1800"/>
            <w:vAlign w:val="center"/>
          </w:tcPr>
          <w:p>
            <w:r>
              <w:t>Visit</w:t>
            </w:r>
          </w:p>
        </w:tc>
        <w:tc>
          <w:tcPr>
            <w:tcW w:type="dxa" w:w="1800"/>
            <w:vAlign w:val="center"/>
          </w:tcPr>
          <w:p>
            <w:r>
              <w:t>Emergency Technician Call-Out</w:t>
              <w:br/>
              <w:t>Technician visit for breakdowns outside routine maintenance; visit and labour charge</w:t>
            </w:r>
          </w:p>
        </w:tc>
        <w:tc>
          <w:tcPr>
            <w:tcW w:type="dxa" w:w="1800"/>
            <w:vAlign w:val="center"/>
          </w:tcPr>
          <w:p>
            <w:r>
              <w:t>INR 2,500.00</w:t>
            </w:r>
          </w:p>
        </w:tc>
        <w:tc>
          <w:tcPr>
            <w:tcW w:type="dxa" w:w="1800"/>
            <w:vAlign w:val="center"/>
          </w:tcPr>
          <w:p>
            <w:r>
              <w:t>INR 20,000.00</w:t>
            </w:r>
          </w:p>
        </w:tc>
      </w:tr>
    </w:tbl>
    <w:p>
      <w:pPr>
        <w:jc w:val="right"/>
      </w:pPr>
      <w:r>
        <w:rPr>
          <w:b/>
        </w:rPr>
        <w:t>Total Net Value: INR 277,000.00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