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SOURCING / SUPPLIER FINAL OFFER REVIEW</w:t>
      </w:r>
    </w:p>
    <w:p>
      <w:pPr>
        <w:spacing w:after="20"/>
      </w:pPr>
      <w:r>
        <w:rPr>
          <w:b/>
        </w:rPr>
        <w:t xml:space="preserve">SFO No.: </w:t>
      </w:r>
      <w:r>
        <w:t>SFO-2026-0801</w:t>
      </w:r>
    </w:p>
    <w:p>
      <w:pPr>
        <w:spacing w:after="20"/>
      </w:pPr>
      <w:r>
        <w:rPr>
          <w:b/>
        </w:rPr>
        <w:t xml:space="preserve">Date: </w:t>
      </w:r>
      <w:r>
        <w:t>09.09.2026</w:t>
      </w:r>
    </w:p>
    <w:p>
      <w:pPr>
        <w:spacing w:after="20"/>
      </w:pPr>
      <w:r>
        <w:rPr>
          <w:b/>
        </w:rPr>
        <w:t xml:space="preserve">RFQ No.: </w:t>
      </w:r>
      <w:r>
        <w:t>REQ_99_9801</w:t>
      </w:r>
    </w:p>
    <w:p>
      <w:pPr>
        <w:spacing w:after="20"/>
      </w:pPr>
      <w:r>
        <w:rPr>
          <w:b/>
        </w:rPr>
        <w:t xml:space="preserve">Shopping Cart: </w:t>
      </w:r>
      <w:r>
        <w:t>1012597822</w:t>
      </w:r>
    </w:p>
    <w:p>
      <w:pPr>
        <w:spacing w:after="20"/>
      </w:pPr>
      <w:r>
        <w:rPr>
          <w:b/>
        </w:rPr>
        <w:t xml:space="preserve">Department: </w:t>
      </w:r>
      <w:r>
        <w:t>HR</w:t>
      </w:r>
    </w:p>
    <w:p>
      <w:pPr>
        <w:spacing w:after="20"/>
      </w:pPr>
      <w:r>
        <w:rPr>
          <w:b/>
        </w:rPr>
        <w:t xml:space="preserve">Service Period: </w:t>
      </w:r>
      <w:r>
        <w:t>01.10.2026 to 30.09.2027</w:t>
      </w:r>
    </w:p>
    <w:p>
      <w:pPr>
        <w:spacing w:after="20"/>
      </w:pPr>
      <w:r>
        <w:rPr>
          <w:b/>
        </w:rPr>
        <w:t xml:space="preserve">Service Location: </w:t>
      </w:r>
      <w:r>
        <w:t>Pune - Ganges</w:t>
      </w:r>
    </w:p>
    <w:p>
      <w:pPr>
        <w:spacing w:after="20"/>
      </w:pPr>
      <w:r>
        <w:rPr>
          <w:b/>
        </w:rPr>
        <w:t xml:space="preserve">Status: </w:t>
      </w:r>
      <w:r>
        <w:t>Ready for recommendation</w:t>
      </w:r>
    </w:p>
    <w:p>
      <w:r>
        <w:rPr>
          <w:b/>
          <w:sz w:val="22"/>
        </w:rPr>
        <w:t>Evaluation</w:t>
      </w:r>
    </w:p>
    <w:p>
      <w:pPr>
        <w:pStyle w:val="ListBullet"/>
      </w:pPr>
      <w:r>
        <w:t>All three suppliers have quoted the complete annual service scope.</w:t>
      </w:r>
    </w:p>
    <w:p>
      <w:pPr>
        <w:pStyle w:val="ListBullet"/>
      </w:pPr>
      <w:r>
        <w:t>All quotations include preventive maintenance, breakdown support and service reporting.</w:t>
      </w:r>
    </w:p>
    <w:p>
      <w:pPr>
        <w:pStyle w:val="ListBullet"/>
      </w:pPr>
      <w:r>
        <w:t>Commercial terms differ in price, payment terms, offer validity and breakdown response time.</w:t>
      </w:r>
    </w:p>
    <w:p>
      <w:pPr>
        <w:pStyle w:val="ListBullet"/>
      </w:pPr>
      <w:r>
        <w:t>The lowest-priced complete quotation is FreshBrew Vending Services Pvt. Ltd. at INR 303,968.00 including GST.</w:t>
      </w:r>
    </w:p>
    <w:p>
      <w:pPr>
        <w:pStyle w:val="ListBullet"/>
      </w:pPr>
      <w:r>
        <w:t>Technical scope is comparable; the lowest compliant commercial offer is therefore preferred.</w:t>
      </w:r>
    </w:p>
    <w:p>
      <w:r>
        <w:rPr>
          <w:b/>
          <w:sz w:val="22"/>
        </w:rPr>
        <w:t>Recommendation</w:t>
      </w:r>
    </w:p>
    <w:p>
      <w:r>
        <w:t>Recommend FreshBrew Vending Services Pvt. Ltd. as the lowest-priced compliant service provider, subject to standard procurement approval and final service schedule confirmation.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 w:val="true"/>
        </w:trPr>
        <w:tc>
          <w:tcPr>
            <w:tcW w:type="dxa" w:w="1543"/>
            <w:shd w:fill="D9EAF7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</w:rPr>
              <w:t>Net Value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</w:rPr>
              <w:t>Total incl. GST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</w:rPr>
              <w:t>Payment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</w:rPr>
              <w:t>Validity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</w:rPr>
              <w:t>Response Time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</w:rPr>
              <w:t>Quote Status</w:t>
            </w:r>
          </w:p>
        </w:tc>
      </w:tr>
      <w:tr>
        <w:tc>
          <w:tcPr>
            <w:tcW w:type="dxa" w:w="1543"/>
            <w:vAlign w:val="center"/>
          </w:tcPr>
          <w:p>
            <w:r>
              <w:t>FreshBrew Vending Services Pvt. Ltd.</w:t>
            </w:r>
          </w:p>
        </w:tc>
        <w:tc>
          <w:tcPr>
            <w:tcW w:type="dxa" w:w="1543"/>
            <w:vAlign w:val="center"/>
          </w:tcPr>
          <w:p>
            <w:r>
              <w:t>INR 257,600.00</w:t>
            </w:r>
          </w:p>
        </w:tc>
        <w:tc>
          <w:tcPr>
            <w:tcW w:type="dxa" w:w="1543"/>
            <w:vAlign w:val="center"/>
          </w:tcPr>
          <w:p>
            <w:r>
              <w:t>INR 303,968.00</w:t>
            </w:r>
          </w:p>
        </w:tc>
        <w:tc>
          <w:tcPr>
            <w:tcW w:type="dxa" w:w="1543"/>
            <w:vAlign w:val="center"/>
          </w:tcPr>
          <w:p>
            <w:r>
              <w:t>30 days from quotation</w:t>
            </w:r>
          </w:p>
        </w:tc>
        <w:tc>
          <w:tcPr>
            <w:tcW w:type="dxa" w:w="1543"/>
            <w:vAlign w:val="center"/>
          </w:tcPr>
          <w:p>
            <w:r>
              <w:t>30 days</w:t>
            </w:r>
          </w:p>
        </w:tc>
        <w:tc>
          <w:tcPr>
            <w:tcW w:type="dxa" w:w="1543"/>
            <w:vAlign w:val="center"/>
          </w:tcPr>
          <w:p>
            <w:r>
              <w:t>48 hours</w:t>
            </w:r>
          </w:p>
        </w:tc>
        <w:tc>
          <w:tcPr>
            <w:tcW w:type="dxa" w:w="1543"/>
            <w:vAlign w:val="center"/>
          </w:tcPr>
          <w:p>
            <w:r>
              <w:t>Complete</w:t>
            </w:r>
          </w:p>
        </w:tc>
      </w:tr>
      <w:tr>
        <w:tc>
          <w:tcPr>
            <w:tcW w:type="dxa" w:w="1543"/>
            <w:vAlign w:val="center"/>
          </w:tcPr>
          <w:p>
            <w:r>
              <w:t>VendCare Facility Solutions</w:t>
            </w:r>
          </w:p>
        </w:tc>
        <w:tc>
          <w:tcPr>
            <w:tcW w:type="dxa" w:w="1543"/>
            <w:vAlign w:val="center"/>
          </w:tcPr>
          <w:p>
            <w:r>
              <w:t>INR 266,200.00</w:t>
            </w:r>
          </w:p>
        </w:tc>
        <w:tc>
          <w:tcPr>
            <w:tcW w:type="dxa" w:w="1543"/>
            <w:vAlign w:val="center"/>
          </w:tcPr>
          <w:p>
            <w:r>
              <w:t>INR 314,116.00</w:t>
            </w:r>
          </w:p>
        </w:tc>
        <w:tc>
          <w:tcPr>
            <w:tcW w:type="dxa" w:w="1543"/>
            <w:vAlign w:val="center"/>
          </w:tcPr>
          <w:p>
            <w:r>
              <w:t>45 days from quotation</w:t>
            </w:r>
          </w:p>
        </w:tc>
        <w:tc>
          <w:tcPr>
            <w:tcW w:type="dxa" w:w="1543"/>
            <w:vAlign w:val="center"/>
          </w:tcPr>
          <w:p>
            <w:r>
              <w:t>45 days</w:t>
            </w:r>
          </w:p>
        </w:tc>
        <w:tc>
          <w:tcPr>
            <w:tcW w:type="dxa" w:w="1543"/>
            <w:vAlign w:val="center"/>
          </w:tcPr>
          <w:p>
            <w:r>
              <w:t>24 hours</w:t>
            </w:r>
          </w:p>
        </w:tc>
        <w:tc>
          <w:tcPr>
            <w:tcW w:type="dxa" w:w="1543"/>
            <w:vAlign w:val="center"/>
          </w:tcPr>
          <w:p>
            <w:r>
              <w:t>Complete</w:t>
            </w:r>
          </w:p>
        </w:tc>
      </w:tr>
      <w:tr>
        <w:tc>
          <w:tcPr>
            <w:tcW w:type="dxa" w:w="1543"/>
            <w:vAlign w:val="center"/>
          </w:tcPr>
          <w:p>
            <w:r>
              <w:t>OfficeRefresh Solutions India</w:t>
            </w:r>
          </w:p>
        </w:tc>
        <w:tc>
          <w:tcPr>
            <w:tcW w:type="dxa" w:w="1543"/>
            <w:vAlign w:val="center"/>
          </w:tcPr>
          <w:p>
            <w:r>
              <w:t>INR 269,200.00</w:t>
            </w:r>
          </w:p>
        </w:tc>
        <w:tc>
          <w:tcPr>
            <w:tcW w:type="dxa" w:w="1543"/>
            <w:vAlign w:val="center"/>
          </w:tcPr>
          <w:p>
            <w:r>
              <w:t>INR 317,656.00</w:t>
            </w:r>
          </w:p>
        </w:tc>
        <w:tc>
          <w:tcPr>
            <w:tcW w:type="dxa" w:w="1543"/>
            <w:vAlign w:val="center"/>
          </w:tcPr>
          <w:p>
            <w:r>
              <w:t>15 days from quotation</w:t>
            </w:r>
          </w:p>
        </w:tc>
        <w:tc>
          <w:tcPr>
            <w:tcW w:type="dxa" w:w="1543"/>
            <w:vAlign w:val="center"/>
          </w:tcPr>
          <w:p>
            <w:r>
              <w:t>15 days</w:t>
            </w:r>
          </w:p>
        </w:tc>
        <w:tc>
          <w:tcPr>
            <w:tcW w:type="dxa" w:w="1543"/>
            <w:vAlign w:val="center"/>
          </w:tcPr>
          <w:p>
            <w:r>
              <w:t>72 hours</w:t>
            </w:r>
          </w:p>
        </w:tc>
        <w:tc>
          <w:tcPr>
            <w:tcW w:type="dxa" w:w="1543"/>
            <w:vAlign w:val="center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