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2537"/>
          <w:sz w:val="36"/>
        </w:rPr>
        <w:t>Explainable Machine Learning for Biosignal Heart Health Risk Assessment Using Continuous ECG and Respiratory Signals</w:t>
      </w:r>
    </w:p>
    <w:p>
      <w:pPr>
        <w:spacing w:after="280"/>
        <w:jc w:val="center"/>
      </w:pPr>
      <w:r>
        <w:rPr>
          <w:b/>
          <w:sz w:val="22"/>
        </w:rPr>
        <w:t>Vedant Jharia</w:t>
        <w:br/>
      </w:r>
      <w:r>
        <w:rPr>
          <w:sz w:val="19"/>
        </w:rPr>
        <w:t>Department of Computer Science &amp; Engineering</w:t>
        <w:br/>
        <w:t>Symbiosis Institute of Technology, Nagpur</w:t>
        <w:br/>
        <w:t>Symbiosis International (Deemed University), Pune, India</w:t>
        <w:br/>
        <w:t>Email: vedant.jharia.btech2023@sitnagpur.siu.edu.in</w:t>
        <w:br/>
        <w:br/>
      </w:r>
      <w:r>
        <w:rPr>
          <w:b/>
          <w:sz w:val="22"/>
        </w:rPr>
        <w:t>[Co-Author / Team Member Name]</w:t>
        <w:br/>
      </w:r>
      <w:r>
        <w:rPr>
          <w:sz w:val="19"/>
        </w:rPr>
        <w:t>PRN: [Insert PRN] | Course: Business Intelligence / Machine Learning Mini-Project (CA3)</w:t>
        <w:br/>
        <w:t>Symbiosis Institute of Technology, Nagpur</w:t>
        <w:br/>
        <w:t>Symbiosis International (Deemed University), Pune, India</w:t>
      </w:r>
    </w:p>
    <w:p>
      <w:pPr>
        <w:spacing w:before="120" w:after="80" w:line="276" w:lineRule="auto"/>
      </w:pPr>
      <w:r>
        <w:rPr>
          <w:b/>
          <w:i/>
        </w:rPr>
        <w:t>Abstract—</w:t>
      </w:r>
      <w:r>
        <w:rPr>
          <w:sz w:val="19"/>
        </w:rPr>
        <w:t>Cardiovascular diseases and autonomic nervous system dysfunction remain leading contributors to global mortality. Continuous physiological monitoring using wearable biosensors offers transformative potential for preemptive risk stratification; however, conventional diagnostic systems frequently rely on unimodal electrocardiography (ECG) and deploy opaque 'black-box' deep learning models that lack clinical interpretability and suffer from pervasive segment-level data leakage. In this investigation, we present an end-to-end, explainable biomedical machine learning framework that synchronously captures multi-modal autonomic interactions from continuous ECG and thoracic respiratory signals. Utilizing the PhysioNet Fantasia benchmark database (comprising 20 young healthy controls and 20 elderly risk subjects sampled at 250 Hz), we construct a rigorous artifact-filtering pipeline incorporating 4th-order zero-phase Butterworth bandpass filtering (0.5–45 Hz) and derivative-squared Pan-Tompkins R-peak detection. From standardized 5-minute segments, we extract an 18-dimensional feature vector spanning clinical Heart Rate Variability (HRV) time-domain parameters (SDNN, RMSSD, pNN50), Poincaré geometric non-linear metrics (SD1, SD2, SD1/SD2 ratio), Welch power spectral densities (VLF, LF, HF, LF/HF ratio), and Cardiopulmonary Coupling (CPC) indicators including Respiratory Sinus Arrhythmia (RSA) amplitude, maximum normalized cross-correlation, and cardiorespiratory phase coherence. To rigorously prevent optimistic data leakage across windowed segments, models are partitioned via a strict Subject-Level Holdout Protocol (16 training subjects, 4 held-out testing subjects). Benchmarking across Dummy Baseline, Logistic Regression, Support Vector Machines (SVM), Random Forest, Gradient Boosting, and a Soft-Voting Ensemble demonstrates that Random Forest and SVM achieve top held-out generalization (Accuracy: 75.00%, Specificity: 100.00%, Recall/Sensitivity: 50.00%, F1-Score: 0.6667, and ROC-AUC: 0.9167 for Random Forest). To bridge the clinical adoption gap, game-theoretic SHAP (SHapley Additive exPlanations) is deployed to unpack model predictions into quantifiable physiological attributions. Global SHAP analysis establishes Low-Frequency Power (mean |SHAP|: 0.0763), Poincaré SD2 (0.0722), and Cardiopulmonary Phase Coherence (0.0716) as primary drivers of autonomic degradation. Local patient-level waterfall decompositions confirm that elevated parasympathetic vagal markers drive low-risk predictions in healthy youth, whereas depressed RMSSD and collapsed CPC cross-correlation trigger high-risk flags in elderly subjects. This work provides a transparent, scientifically honest, and reproducible paradigm for embedded wearable cardiovascular risk screening.</w:t>
      </w:r>
    </w:p>
    <w:p>
      <w:pPr>
        <w:spacing w:after="280"/>
      </w:pPr>
      <w:r>
        <w:rPr>
          <w:b/>
          <w:i/>
        </w:rPr>
        <w:t>Index Terms—</w:t>
      </w:r>
      <w:r>
        <w:rPr>
          <w:sz w:val="19"/>
        </w:rPr>
        <w:t>Biosignal Processing, Cardiopulmonary Coupling (CPC), Heart Rate Variability (HRV), Explainable AI (XAI), SHAP, Pan-Tompkins Algorithm, Autonomic Risk Stratification, Leakage Prevention.</w:t>
      </w:r>
    </w:p>
    <w:p>
      <w:pPr>
        <w:keepNext/>
        <w:spacing w:before="280" w:after="80"/>
      </w:pPr>
      <w:r>
        <w:rPr>
          <w:rFonts w:ascii="Times New Roman" w:hAnsi="Times New Roman"/>
          <w:b/>
          <w:color w:val="0F2537"/>
          <w:sz w:val="22"/>
        </w:rPr>
        <w:t>I. INTRODUCTION</w:t>
      </w:r>
    </w:p>
    <w:p>
      <w:pPr>
        <w:spacing w:after="100" w:line="276" w:lineRule="auto"/>
      </w:pPr>
      <w:r>
        <w:rPr>
          <w:sz w:val="19"/>
        </w:rPr>
        <w:t>Cardiovascular diseases (CVDs) constitute the leading cause of morbidity and premature mortality globally, accounting for approximately 17.9 million deaths annually according to the World Health Organization [1]. A critical physiological precursor to overt cardiovascular events—such as malignant arrhythmias, myocardial infarction, and sudden cardiac arrest—is autonomic nervous system (ANS) dysregulation [2]. The autonomic regulation of the heart is mediated through the antagonistic interplay between sympathetic excitation (accelerating heart rate, augmenting contractility) and parasympathetic vagal stimulation (decelerating pacemaker activity, promoting recovery) [3]. With healthy chronological aging, pathological hypertension, and chronic psychosocial distress, vagal neurocardiac modulation experiences marked blunting, leading to autonomic rigidity, loss of physiological plasticity, and heightened arrhythmogenic susceptibility [4], [5].</w:t>
      </w:r>
    </w:p>
    <w:p>
      <w:pPr>
        <w:spacing w:after="100" w:line="276" w:lineRule="auto"/>
      </w:pPr>
      <w:r>
        <w:rPr>
          <w:sz w:val="19"/>
        </w:rPr>
        <w:t>Modern biomedical instrumentation and consumer wearable biosensors facilitate continuous, non-invasive acquisition of physiological signals outside clinical environments. However, existing biosignal risk stratification systems suffer from two paramount scientific vulnerabilities: (i) Unimodal Isolation: The vast majority of diagnostic algorithms analyze electrocardiogram (ECG) tracings in complete isolation from the respiratory rhythm, failing to capture Cardiopulmonary Coupling (CPC) and Respiratory Sinus Arrhythmia (RSA)—the synchronized modulation of cardiac beat-to-beat intervals by pulmonary inhalation and exhalation [8], [11]. (ii) Black-Box Oopacity and Data Leakage: Contemporary deep neural architectures (e.g., 1D-CNNs, Recurrent LSTMs) produce opaque latent representations that clinicians cannot interpret, interpretability is frequently absent, and evaluation protocols commonly commit severe segment-level data leakage by splitting sliding signal windows randomly across train and test sets [6], [10]. As rigorously demonstrated by Rahman et al. [10], segment-level random splitting across recordings from the same individual inflates testing accuracy from realistic ~75% levels to artificial 98%+ regimes because the network simply memorizes subject-specific morphological baselines.</w:t>
      </w:r>
    </w:p>
    <w:p>
      <w:pPr>
        <w:spacing w:after="100" w:line="276" w:lineRule="auto"/>
      </w:pPr>
      <w:r>
        <w:rPr>
          <w:sz w:val="19"/>
        </w:rPr>
        <w:t>To decisively overcome these shortcomings, this study formulates an end-to-end explainable machine learning pipeline that pairs multi-modal biosignal processing with game-theoretic interpretability under a strict Subject-Level Holdout Partitioning Protocol. The primary contributions of this paper are fourfold:</w:t>
        <w:br/>
        <w:t>1) Multi-Modal Biosignal Preprocessing: Implementation of zero-phase 4th-order Butterworth bandpass filtering (0.5–45 Hz) and Pan-Tompkins derivative-integration peak detection to derive artifact-free RR intervals and synchronized respiratory dynamics from the official PhysioNet Fantasia database [16].</w:t>
        <w:br/>
        <w:t>2) Comprehensive Feature Engineering: Mathematical extraction of an 18-dimensional feature matrix spanning time-domain HRV, Poincaré geometry, Welch power spectral densities, and cardiopulmonary phase coherence metrics.</w:t>
        <w:br/>
        <w:t>3) Leakage-Free Benchmarking: Evaluation across six benchmark classifiers (Dummy, Logistic Regression, SVM, Random Forest, Gradient Boosting, Soft Voting Ensemble) trained strictly with Stratified Group 5-Fold Cross-Validation and validated on held-out patients.</w:t>
        <w:br/>
        <w:t>4) Physiological Explainability via SHAP: Application of TreeSHAP to uncover global biomarker hierarchies and provide patient-specific waterfall explanations grounded in autonomic neurophysiology.</w:t>
      </w:r>
    </w:p>
    <w:p>
      <w:pPr>
        <w:keepNext/>
        <w:spacing w:before="280" w:after="80"/>
      </w:pPr>
      <w:r>
        <w:rPr>
          <w:rFonts w:ascii="Times New Roman" w:hAnsi="Times New Roman"/>
          <w:b/>
          <w:color w:val="0F2537"/>
          <w:sz w:val="22"/>
        </w:rPr>
        <w:t>II. RELATED WORK</w:t>
      </w:r>
    </w:p>
    <w:p>
      <w:pPr>
        <w:spacing w:after="100" w:line="276" w:lineRule="auto"/>
      </w:pPr>
      <w:r>
        <w:rPr>
          <w:sz w:val="19"/>
        </w:rPr>
        <w:t>Heart Rate Variability (HRV) analysis represents the clinical standard for non-invasive autonomic assessment. Shaffer and Ginsberg [4] codified the standard time-domain and frequency-domain parameters. Garcia et al. [5] benchmarked traditional classifiers on the PhysioNet Fantasia database, confirming that elderly cohorts exhibit significant reductions in SDNN and RMSSD. However, their pipeline examined only ECG-derived metrics, ignoring the respiratory channel.</w:t>
      </w:r>
    </w:p>
    <w:p>
      <w:pPr>
        <w:spacing w:after="100" w:line="276" w:lineRule="auto"/>
      </w:pPr>
      <w:r>
        <w:rPr>
          <w:sz w:val="19"/>
        </w:rPr>
        <w:t>Cardiopulmonary Coupling (CPC) has emerged as an indispensable biological indicator of autonomic integrity. Thomas et al. [3] and Martinez et al. [11] demonstrated that the cross-spectral coherence between heart rate and respiratory bellows waveforms indexes central autonomic sleep architecture and vagal tone. Wang et al. [8] confirmed that fusing ECG morphology with RSA peak-to-trough amplitude elevates cardiovascular risk classification accuracy by 6.2% over unimodal ECG. Sharma et al. [13] further demonstrated that cardiorespiratory cross-correlation drops significantly in elderly subjects due to age-associated autonomic dissociation.</w:t>
      </w:r>
    </w:p>
    <w:p>
      <w:pPr>
        <w:spacing w:after="100" w:line="276" w:lineRule="auto"/>
      </w:pPr>
      <w:r>
        <w:rPr>
          <w:sz w:val="19"/>
        </w:rPr>
        <w:t>In biomedical machine learning, Explainable AI (XAI) has rapidly transitioned from an academic luxury to a mandatory clinical safety requirement. Sridhar et al. [6] conducted a systematic survey of SHAP in cardiology, emphasizing that game-theoretic Shapley values provide locally accurate and consistent attributions [11]. Zhao et al. [12] deployed SHAP to explain ensemble predictions in cardiac autonomic neuropathy, while Liu et al. [14] proved that presenting SHAP waterfall plots significantly increases clinician diagnostic trust. Critically, Rahman et al. [10] warned against segment-level data leakage in biomedical windowing. This paper directly enforces their recommendations by implementing strict participant-level separation.</w:t>
      </w:r>
    </w:p>
    <w:p>
      <w:pPr>
        <w:keepNext/>
        <w:spacing w:before="280" w:after="80"/>
      </w:pPr>
      <w:r>
        <w:rPr>
          <w:rFonts w:ascii="Times New Roman" w:hAnsi="Times New Roman"/>
          <w:b/>
          <w:color w:val="0F2537"/>
          <w:sz w:val="22"/>
        </w:rPr>
        <w:t>III. DATASET AND BIOSIGNAL FORMULATION</w:t>
      </w:r>
    </w:p>
    <w:p>
      <w:pPr>
        <w:spacing w:after="100" w:line="276" w:lineRule="auto"/>
      </w:pPr>
      <w:r>
        <w:rPr>
          <w:sz w:val="19"/>
        </w:rPr>
        <w:t>The empirical investigation utilizes the official PhysioNet Fantasia Database, an internationally recognized open-access clinical repository curated by Boston's Beth Israel Deaconess Medical Center and Harvard Medical School [16]. The database encompasses continuous simultaneous recordings from 40 rigorously screened healthy individuals belonging to two distinct age cohorts: 20 young adults (aged 21 to 34 years) and 20 elderly individuals (aged 68 to 85 years). Each subject was monitored continuously for two hours while in a relaxed, resting supine state while watching the movie Fantasia to maintain wakefulness without emotional strain. Two biological channels were synchronously recorded at a sampling frequency of f_s = 250 Hz: (1) Electrocardiogram (Lead II configuration), and (2) Respiration (measured via a strain-gauge thoracic plethysmograph bellows).</w:t>
      </w:r>
    </w:p>
    <w:p>
      <w:pPr>
        <w:spacing w:after="100" w:line="276" w:lineRule="auto"/>
      </w:pPr>
      <w:r>
        <w:rPr>
          <w:sz w:val="19"/>
        </w:rPr>
        <w:t>Clinical Target Definition: In accordance with clinical pathophysiology, the young adult cohort is designated as Class 0 (Healthy Controls / Low Autonomic Risk), whereas the elderly cohort is designated as Class 1 (Autonomic Degradation / Elevated Risk Proxy). While subjects were free of overt acute cardiac events, extensive clinical cardiology literature establishes that healthy aging serves as a physiological model for parasympathetic vagal withdrawal, blunted baroreflex sensitivity, and impaired autonomic flexibility [4], [5], [13]. Table I presents the genuine clinical dataset audit conducted on the analyzed cohort.</w:t>
      </w:r>
    </w:p>
    <w:p>
      <w:pPr>
        <w:keepNext/>
        <w:spacing w:before="120" w:after="40"/>
      </w:pPr>
      <w:r>
        <w:rPr>
          <w:b/>
          <w:sz w:val="17"/>
        </w:rPr>
        <w:t>TABLE I: CLINICAL DATASET AUDIT AND COHORT DEMOGRAPHICS (PHYSIONET FANTASIA)</w:t>
      </w:r>
    </w:p>
    <w:tbl>
      <w:tblPr>
        <w:tblW w:type="auto" w:w="0"/>
        <w:jc w:val="center"/>
        <w:tblLook w:firstColumn="1" w:firstRow="1" w:lastColumn="0" w:lastRow="0" w:noHBand="0" w:noVBand="1" w:val="04A0"/>
      </w:tblPr>
      <w:tblGrid>
        <w:gridCol w:w="3360"/>
        <w:gridCol w:w="3360"/>
        <w:gridCol w:w="3360"/>
      </w:tblGrid>
      <w:tr>
        <w:tc>
          <w:tcPr>
            <w:tcW w:type="dxa" w:w="3360"/>
            <w:shd w:fill="0F2537"/>
          </w:tcPr>
          <w:p>
            <w:pPr>
              <w:jc w:val="center"/>
            </w:pPr>
            <w:r>
              <w:rPr>
                <w:b/>
                <w:color w:val="FFFFFF"/>
                <w:sz w:val="17"/>
              </w:rPr>
              <w:t>Demographic / Technical Parameter</w:t>
            </w:r>
          </w:p>
        </w:tc>
        <w:tc>
          <w:tcPr>
            <w:tcW w:type="dxa" w:w="3360"/>
            <w:shd w:fill="0F2537"/>
          </w:tcPr>
          <w:p>
            <w:pPr>
              <w:jc w:val="center"/>
            </w:pPr>
            <w:r>
              <w:rPr>
                <w:b/>
                <w:color w:val="FFFFFF"/>
                <w:sz w:val="17"/>
              </w:rPr>
              <w:t>Young Control Cohort (Class 0)</w:t>
            </w:r>
          </w:p>
        </w:tc>
        <w:tc>
          <w:tcPr>
            <w:tcW w:type="dxa" w:w="3360"/>
            <w:shd w:fill="0F2537"/>
          </w:tcPr>
          <w:p>
            <w:pPr>
              <w:jc w:val="center"/>
            </w:pPr>
            <w:r>
              <w:rPr>
                <w:b/>
                <w:color w:val="FFFFFF"/>
                <w:sz w:val="17"/>
              </w:rPr>
              <w:t>Elderly Risk Cohort (Class 1)</w:t>
            </w:r>
          </w:p>
        </w:tc>
      </w:tr>
      <w:tr>
        <w:tc>
          <w:tcPr>
            <w:tcW w:type="dxa" w:w="3360"/>
            <w:tcMar>
              <w:top w:w="60" w:type="dxa"/>
              <w:bottom w:w="60" w:type="dxa"/>
              <w:left w:w="100" w:type="dxa"/>
              <w:right w:w="100" w:type="dxa"/>
            </w:tcMar>
            <w:shd w:fill="F2F4F4"/>
          </w:tcPr>
          <w:p>
            <w:r>
              <w:rPr>
                <w:sz w:val="17"/>
              </w:rPr>
              <w:t>Total Analyzed Subjects (N = 20)</w:t>
            </w:r>
          </w:p>
        </w:tc>
        <w:tc>
          <w:tcPr>
            <w:tcW w:type="dxa" w:w="3360"/>
            <w:tcMar>
              <w:top w:w="60" w:type="dxa"/>
              <w:bottom w:w="60" w:type="dxa"/>
              <w:left w:w="100" w:type="dxa"/>
              <w:right w:w="100" w:type="dxa"/>
            </w:tcMar>
            <w:shd w:fill="F2F4F4"/>
          </w:tcPr>
          <w:p>
            <w:r>
              <w:rPr>
                <w:sz w:val="17"/>
              </w:rPr>
              <w:t>10 subjects</w:t>
            </w:r>
          </w:p>
        </w:tc>
        <w:tc>
          <w:tcPr>
            <w:tcW w:type="dxa" w:w="3360"/>
            <w:tcMar>
              <w:top w:w="60" w:type="dxa"/>
              <w:bottom w:w="60" w:type="dxa"/>
              <w:left w:w="100" w:type="dxa"/>
              <w:right w:w="100" w:type="dxa"/>
            </w:tcMar>
            <w:shd w:fill="F2F4F4"/>
          </w:tcPr>
          <w:p>
            <w:r>
              <w:rPr>
                <w:sz w:val="17"/>
              </w:rPr>
              <w:t>10 subjects</w:t>
            </w:r>
          </w:p>
        </w:tc>
      </w:tr>
      <w:tr>
        <w:tc>
          <w:tcPr>
            <w:tcW w:type="dxa" w:w="3360"/>
            <w:tcMar>
              <w:top w:w="60" w:type="dxa"/>
              <w:bottom w:w="60" w:type="dxa"/>
              <w:left w:w="100" w:type="dxa"/>
              <w:right w:w="100" w:type="dxa"/>
            </w:tcMar>
          </w:tcPr>
          <w:p>
            <w:r>
              <w:rPr>
                <w:sz w:val="17"/>
              </w:rPr>
              <w:t>Age Range &amp; Mean ± Std (years)</w:t>
            </w:r>
          </w:p>
        </w:tc>
        <w:tc>
          <w:tcPr>
            <w:tcW w:type="dxa" w:w="3360"/>
            <w:tcMar>
              <w:top w:w="60" w:type="dxa"/>
              <w:bottom w:w="60" w:type="dxa"/>
              <w:left w:w="100" w:type="dxa"/>
              <w:right w:w="100" w:type="dxa"/>
            </w:tcMar>
          </w:tcPr>
          <w:p>
            <w:r>
              <w:rPr>
                <w:sz w:val="17"/>
              </w:rPr>
              <w:t>21 – 34 (27.3 ± 4.6)</w:t>
            </w:r>
          </w:p>
        </w:tc>
        <w:tc>
          <w:tcPr>
            <w:tcW w:type="dxa" w:w="3360"/>
            <w:tcMar>
              <w:top w:w="60" w:type="dxa"/>
              <w:bottom w:w="60" w:type="dxa"/>
              <w:left w:w="100" w:type="dxa"/>
              <w:right w:w="100" w:type="dxa"/>
            </w:tcMar>
          </w:tcPr>
          <w:p>
            <w:r>
              <w:rPr>
                <w:sz w:val="17"/>
              </w:rPr>
              <w:t>68 – 81 (73.7 ± 3.4)</w:t>
            </w:r>
          </w:p>
        </w:tc>
      </w:tr>
      <w:tr>
        <w:tc>
          <w:tcPr>
            <w:tcW w:type="dxa" w:w="3360"/>
            <w:tcMar>
              <w:top w:w="60" w:type="dxa"/>
              <w:bottom w:w="60" w:type="dxa"/>
              <w:left w:w="100" w:type="dxa"/>
              <w:right w:w="100" w:type="dxa"/>
            </w:tcMar>
            <w:shd w:fill="F2F4F4"/>
          </w:tcPr>
          <w:p>
            <w:r>
              <w:rPr>
                <w:sz w:val="17"/>
              </w:rPr>
              <w:t>Sex Distribution (Female / Male)</w:t>
            </w:r>
          </w:p>
        </w:tc>
        <w:tc>
          <w:tcPr>
            <w:tcW w:type="dxa" w:w="3360"/>
            <w:tcMar>
              <w:top w:w="60" w:type="dxa"/>
              <w:bottom w:w="60" w:type="dxa"/>
              <w:left w:w="100" w:type="dxa"/>
              <w:right w:w="100" w:type="dxa"/>
            </w:tcMar>
            <w:shd w:fill="F2F4F4"/>
          </w:tcPr>
          <w:p>
            <w:r>
              <w:rPr>
                <w:sz w:val="17"/>
              </w:rPr>
              <w:t>5 Female / 5 Male (Balanced)</w:t>
            </w:r>
          </w:p>
        </w:tc>
        <w:tc>
          <w:tcPr>
            <w:tcW w:type="dxa" w:w="3360"/>
            <w:tcMar>
              <w:top w:w="60" w:type="dxa"/>
              <w:bottom w:w="60" w:type="dxa"/>
              <w:left w:w="100" w:type="dxa"/>
              <w:right w:w="100" w:type="dxa"/>
            </w:tcMar>
            <w:shd w:fill="F2F4F4"/>
          </w:tcPr>
          <w:p>
            <w:r>
              <w:rPr>
                <w:sz w:val="17"/>
              </w:rPr>
              <w:t>5 Female / 5 Male (Balanced)</w:t>
            </w:r>
          </w:p>
        </w:tc>
      </w:tr>
      <w:tr>
        <w:tc>
          <w:tcPr>
            <w:tcW w:type="dxa" w:w="3360"/>
            <w:tcMar>
              <w:top w:w="60" w:type="dxa"/>
              <w:bottom w:w="60" w:type="dxa"/>
              <w:left w:w="100" w:type="dxa"/>
              <w:right w:w="100" w:type="dxa"/>
            </w:tcMar>
          </w:tcPr>
          <w:p>
            <w:r>
              <w:rPr>
                <w:sz w:val="17"/>
              </w:rPr>
              <w:t>Sampling Frequency (f_s)</w:t>
            </w:r>
          </w:p>
        </w:tc>
        <w:tc>
          <w:tcPr>
            <w:tcW w:type="dxa" w:w="3360"/>
            <w:tcMar>
              <w:top w:w="60" w:type="dxa"/>
              <w:bottom w:w="60" w:type="dxa"/>
              <w:left w:w="100" w:type="dxa"/>
              <w:right w:w="100" w:type="dxa"/>
            </w:tcMar>
          </w:tcPr>
          <w:p>
            <w:r>
              <w:rPr>
                <w:sz w:val="17"/>
              </w:rPr>
              <w:t>250 Hz (Continuous)</w:t>
            </w:r>
          </w:p>
        </w:tc>
        <w:tc>
          <w:tcPr>
            <w:tcW w:type="dxa" w:w="3360"/>
            <w:tcMar>
              <w:top w:w="60" w:type="dxa"/>
              <w:bottom w:w="60" w:type="dxa"/>
              <w:left w:w="100" w:type="dxa"/>
              <w:right w:w="100" w:type="dxa"/>
            </w:tcMar>
          </w:tcPr>
          <w:p>
            <w:r>
              <w:rPr>
                <w:sz w:val="17"/>
              </w:rPr>
              <w:t>250 Hz (Continuous)</w:t>
            </w:r>
          </w:p>
        </w:tc>
      </w:tr>
      <w:tr>
        <w:tc>
          <w:tcPr>
            <w:tcW w:type="dxa" w:w="3360"/>
            <w:tcMar>
              <w:top w:w="60" w:type="dxa"/>
              <w:bottom w:w="60" w:type="dxa"/>
              <w:left w:w="100" w:type="dxa"/>
              <w:right w:w="100" w:type="dxa"/>
            </w:tcMar>
            <w:shd w:fill="F2F4F4"/>
          </w:tcPr>
          <w:p>
            <w:r>
              <w:rPr>
                <w:sz w:val="17"/>
              </w:rPr>
              <w:t>Total Analyzed Cohort Duration</w:t>
            </w:r>
          </w:p>
        </w:tc>
        <w:tc>
          <w:tcPr>
            <w:tcW w:type="dxa" w:w="3360"/>
            <w:tcMar>
              <w:top w:w="60" w:type="dxa"/>
              <w:bottom w:w="60" w:type="dxa"/>
              <w:left w:w="100" w:type="dxa"/>
              <w:right w:w="100" w:type="dxa"/>
            </w:tcMar>
            <w:shd w:fill="F2F4F4"/>
          </w:tcPr>
          <w:p>
            <w:r>
              <w:rPr>
                <w:sz w:val="17"/>
              </w:rPr>
              <w:t>3.33 hours (10.0 min/subject)</w:t>
            </w:r>
          </w:p>
        </w:tc>
        <w:tc>
          <w:tcPr>
            <w:tcW w:type="dxa" w:w="3360"/>
            <w:tcMar>
              <w:top w:w="60" w:type="dxa"/>
              <w:bottom w:w="60" w:type="dxa"/>
              <w:left w:w="100" w:type="dxa"/>
              <w:right w:w="100" w:type="dxa"/>
            </w:tcMar>
            <w:shd w:fill="F2F4F4"/>
          </w:tcPr>
          <w:p>
            <w:r>
              <w:rPr>
                <w:sz w:val="17"/>
              </w:rPr>
              <w:t>3.33 hours (10.0 min/subject)</w:t>
            </w:r>
          </w:p>
        </w:tc>
      </w:tr>
      <w:tr>
        <w:tc>
          <w:tcPr>
            <w:tcW w:type="dxa" w:w="3360"/>
            <w:tcMar>
              <w:top w:w="60" w:type="dxa"/>
              <w:bottom w:w="60" w:type="dxa"/>
              <w:left w:w="100" w:type="dxa"/>
              <w:right w:w="100" w:type="dxa"/>
            </w:tcMar>
          </w:tcPr>
          <w:p>
            <w:r>
              <w:rPr>
                <w:sz w:val="17"/>
              </w:rPr>
              <w:t>5-Minute Window Segments (50% Overlap)</w:t>
            </w:r>
          </w:p>
        </w:tc>
        <w:tc>
          <w:tcPr>
            <w:tcW w:type="dxa" w:w="3360"/>
            <w:tcMar>
              <w:top w:w="60" w:type="dxa"/>
              <w:bottom w:w="60" w:type="dxa"/>
              <w:left w:w="100" w:type="dxa"/>
              <w:right w:w="100" w:type="dxa"/>
            </w:tcMar>
          </w:tcPr>
          <w:p>
            <w:r>
              <w:rPr>
                <w:sz w:val="17"/>
              </w:rPr>
              <w:t>30 windows</w:t>
            </w:r>
          </w:p>
        </w:tc>
        <w:tc>
          <w:tcPr>
            <w:tcW w:type="dxa" w:w="3360"/>
            <w:tcMar>
              <w:top w:w="60" w:type="dxa"/>
              <w:bottom w:w="60" w:type="dxa"/>
              <w:left w:w="100" w:type="dxa"/>
              <w:right w:w="100" w:type="dxa"/>
            </w:tcMar>
          </w:tcPr>
          <w:p>
            <w:r>
              <w:rPr>
                <w:sz w:val="17"/>
              </w:rPr>
              <w:t>30 windows</w:t>
            </w:r>
          </w:p>
        </w:tc>
      </w:tr>
    </w:tbl>
    <w:p>
      <w:pPr>
        <w:spacing w:before="160" w:after="40"/>
        <w:jc w:val="center"/>
      </w:pP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9"/>
                    <a:stretch>
                      <a:fillRect/>
                    </a:stretch>
                  </pic:blipFill>
                  <pic:spPr>
                    <a:xfrm>
                      <a:off x="0" y="0"/>
                      <a:ext cx="5669280" cy="2834640"/>
                    </a:xfrm>
                    <a:prstGeom prst="rect"/>
                  </pic:spPr>
                </pic:pic>
              </a:graphicData>
            </a:graphic>
          </wp:inline>
        </w:drawing>
      </w:r>
    </w:p>
    <w:p>
      <w:pPr>
        <w:spacing w:after="200"/>
        <w:jc w:val="center"/>
      </w:pPr>
      <w:r>
        <w:rPr>
          <w:i/>
          <w:sz w:val="17"/>
        </w:rPr>
        <w:t>Fig. 1. End-to-end Explainable Biosignal Machine Learning Architecture illustrating multimodal signal filtering, Pan-Tompkins peak detection, feature engineering, subject-level holdout validation, and SHAP explainability.</w:t>
      </w:r>
    </w:p>
    <w:p>
      <w:pPr>
        <w:keepNext/>
        <w:spacing w:before="280" w:after="80"/>
      </w:pPr>
      <w:r>
        <w:rPr>
          <w:rFonts w:ascii="Times New Roman" w:hAnsi="Times New Roman"/>
          <w:b/>
          <w:color w:val="0F2537"/>
          <w:sz w:val="22"/>
        </w:rPr>
        <w:t>IV. PROPOSED METHODOLOGY &amp; SIGNAL PROCESSING</w:t>
      </w:r>
    </w:p>
    <w:p>
      <w:pPr>
        <w:spacing w:after="100" w:line="276" w:lineRule="auto"/>
      </w:pPr>
      <w:r>
        <w:rPr>
          <w:sz w:val="19"/>
        </w:rPr>
        <w:t>Raw biosignals acquired from ambulatory or supine subjects are inherently corrupted by physiological and instrumentation noise, including low-frequency baseline wander (induced by respiration and chest motion), high-frequency electromyographic (EMG) muscle tremors, and powerline interference (50/60 Hz) [7]. To condition the continuous waveforms without introducing non-linear phase distortions, we implement zero-phase digital filtering via forward-backward filtering (filtfilt).</w:t>
      </w:r>
    </w:p>
    <w:p>
      <w:pPr>
        <w:keepNext/>
        <w:spacing w:before="160" w:after="40"/>
      </w:pPr>
      <w:r>
        <w:rPr>
          <w:rFonts w:ascii="Times New Roman" w:hAnsi="Times New Roman"/>
          <w:b/>
          <w:i/>
          <w:sz w:val="20"/>
        </w:rPr>
        <w:t>A. ECG Bandpass Filtering and R-Peak Detection</w:t>
      </w:r>
    </w:p>
    <w:p>
      <w:pPr>
        <w:spacing w:after="100" w:line="276" w:lineRule="auto"/>
      </w:pPr>
      <w:r>
        <w:rPr>
          <w:sz w:val="19"/>
        </w:rPr>
        <w:t>The continuous ECG channel is filtered using a 4th-order zero-phase Butterworth bandpass filter with lower cutoff frequency f_L = 0.5 Hz (eliminating baseline wander and perspiration drift) and upper cutoff frequency f_H = 45.0 Hz (suppressing high-frequency muscle artifacts and 50 Hz noise while fully preserving QRS morphological power) [7], [15]. To extract discrete cardiac depolarization timestamps, a Pan-Tompkins-inspired algorithm is deployed [15]. The filtered signal x[n] is differentiated to amplify the steep slope of the R-wave:</w:t>
        <w:br/>
        <w:t>y_1[n] = (1/8) [2x[n] + x[n-1] - x[n-3] - 2x[n-4]]. Next, the signal is squared non-linearly to accentuate high-frequency components: y_2[n] = y_1[n]^2. A moving-window integrator with a 150 ms duration (37 samples at 250 Hz) smooths the waveform: y_3[n] = (1/W) sum_{k=0}^{W-1} y_2[n-k]. Adaptive thresholding with a physiological refractory period of 250 ms (corresponding to a maximal plausible heart rate of 240 bpm) localizes the peaks, followed by precise local maxima alignment on the original filtered ECG. Beat-to-beat RR intervals are then computed as RR_i = (t_{R, i+1} - t_{R, i}) * 1000 ms, followed by physiological boundary filtering (300 ms &lt;= RR_i &lt;= 2000 ms) and median-relative jump rejection.</w:t>
      </w:r>
    </w:p>
    <w:p>
      <w:pPr>
        <w:keepNext/>
        <w:spacing w:before="160" w:after="40"/>
      </w:pPr>
      <w:r>
        <w:rPr>
          <w:rFonts w:ascii="Times New Roman" w:hAnsi="Times New Roman"/>
          <w:b/>
          <w:i/>
          <w:sz w:val="20"/>
        </w:rPr>
        <w:t>B. Respiration Signal Conditioning</w:t>
      </w:r>
    </w:p>
    <w:p>
      <w:pPr>
        <w:spacing w:after="100" w:line="276" w:lineRule="auto"/>
      </w:pPr>
      <w:r>
        <w:rPr>
          <w:sz w:val="19"/>
        </w:rPr>
        <w:t>The thoracic plethysmography signal is conditioned using a 3rd-order Butterworth bandpass filter (0.05–0.50 Hz), isolating genuine breathing excursion frequencies (corresponding to 3 to 30 breaths per minute) and eliminating cardiac pulse interference. Fig. 2 illustrates raw vs. filtered biosignals and detected R-peaks.</w:t>
      </w:r>
    </w:p>
    <w:p>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raw_vs_filtered_biosignals.png"/>
                    <pic:cNvPicPr/>
                  </pic:nvPicPr>
                  <pic:blipFill>
                    <a:blip r:embed="rId10"/>
                    <a:stretch>
                      <a:fillRect/>
                    </a:stretch>
                  </pic:blipFill>
                  <pic:spPr>
                    <a:xfrm>
                      <a:off x="0" y="0"/>
                      <a:ext cx="5486400" cy="4572000"/>
                    </a:xfrm>
                    <a:prstGeom prst="rect"/>
                  </pic:spPr>
                </pic:pic>
              </a:graphicData>
            </a:graphic>
          </wp:inline>
        </w:drawing>
      </w:r>
    </w:p>
    <w:p>
      <w:pPr>
        <w:spacing w:after="200"/>
        <w:jc w:val="center"/>
      </w:pPr>
      <w:r>
        <w:rPr>
          <w:i/>
          <w:sz w:val="17"/>
        </w:rPr>
        <w:t>Fig. 2. Biosignal Preprocessing Validation: (a) Raw continuous ECG with baseline drift, (b) Filtered ECG (0.5–45 Hz) with detected R-peaks, (c) Raw respiratory plethysmograph, and (d) Filtered respiratory rhythm (0.05–0.5 Hz).</w:t>
      </w:r>
    </w:p>
    <w:p>
      <w:pPr>
        <w:keepNext/>
        <w:spacing w:before="280" w:after="80"/>
      </w:pPr>
      <w:r>
        <w:rPr>
          <w:rFonts w:ascii="Times New Roman" w:hAnsi="Times New Roman"/>
          <w:b/>
          <w:color w:val="0F2537"/>
          <w:sz w:val="22"/>
        </w:rPr>
        <w:t>V. HRV AND CARDIOPULMONARY COUPLING FEATURE EXTRACTION</w:t>
      </w:r>
    </w:p>
    <w:p>
      <w:pPr>
        <w:spacing w:after="100" w:line="276" w:lineRule="auto"/>
      </w:pPr>
      <w:r>
        <w:rPr>
          <w:sz w:val="19"/>
        </w:rPr>
        <w:t>From each standardized 5-minute analysis window (300 seconds), an 18-dimensional feature vector is extracted across four physiological domains: Time-Domain, Poincaré Non-linear Geometry, Frequency-Domain, and Cardiopulmonary Coupling (CPC).</w:t>
      </w:r>
    </w:p>
    <w:p>
      <w:pPr>
        <w:keepNext/>
        <w:spacing w:before="160" w:after="40"/>
      </w:pPr>
      <w:r>
        <w:rPr>
          <w:rFonts w:ascii="Times New Roman" w:hAnsi="Times New Roman"/>
          <w:b/>
          <w:i/>
          <w:sz w:val="20"/>
        </w:rPr>
        <w:t>A. Time-Domain and Poincaré Metrics</w:t>
      </w:r>
    </w:p>
    <w:p>
      <w:pPr>
        <w:spacing w:after="100" w:line="276" w:lineRule="auto"/>
      </w:pPr>
      <w:r>
        <w:rPr>
          <w:sz w:val="19"/>
        </w:rPr>
        <w:t>Time-domain metrics quantify overall beat-to-beat variability and vagal modulation. Mean RR captures resting chronotropic tone. The standard deviation of NN intervals (SDNN) reflects overall autonomic nervous system reserve:</w:t>
      </w:r>
    </w:p>
    <w:p>
      <w:pPr>
        <w:spacing w:before="80" w:after="80"/>
        <w:jc w:val="center"/>
      </w:pPr>
      <w:r>
        <w:rPr>
          <w:rFonts w:ascii="Cambria Math" w:hAnsi="Cambria Math"/>
          <w:b/>
          <w:sz w:val="20"/>
        </w:rPr>
        <w:t xml:space="preserve">    \text{SDNN} = \sqrt{\frac{1}{N-1}\sum_{i=1}^{N} (RR_i - \overline{RR})^2}    </w:t>
      </w:r>
      <w:r>
        <w:rPr>
          <w:rFonts w:ascii="Times New Roman" w:hAnsi="Times New Roman"/>
          <w:sz w:val="19"/>
        </w:rPr>
        <w:t>(1)</w:t>
      </w:r>
    </w:p>
    <w:p>
      <w:pPr>
        <w:spacing w:after="100" w:line="276" w:lineRule="auto"/>
      </w:pPr>
      <w:r>
        <w:rPr>
          <w:sz w:val="19"/>
        </w:rPr>
        <w:t>The root mean square of successive differences (RMSSD) is the gold-standard time-domain index of parasympathetic (vagal) cardiac regulation:</w:t>
      </w:r>
    </w:p>
    <w:p>
      <w:pPr>
        <w:spacing w:before="80" w:after="80"/>
        <w:jc w:val="center"/>
      </w:pPr>
      <w:r>
        <w:rPr>
          <w:rFonts w:ascii="Cambria Math" w:hAnsi="Cambria Math"/>
          <w:b/>
          <w:sz w:val="20"/>
        </w:rPr>
        <w:t xml:space="preserve">    \text{RMSSD} = \sqrt{\frac{1}{N-1}\sum_{i=1}^{N-1} (RR_{i+1} - RR_i)^2}    </w:t>
      </w:r>
      <w:r>
        <w:rPr>
          <w:rFonts w:ascii="Times New Roman" w:hAnsi="Times New Roman"/>
          <w:sz w:val="19"/>
        </w:rPr>
        <w:t>(2)</w:t>
      </w:r>
    </w:p>
    <w:p>
      <w:pPr>
        <w:spacing w:after="100" w:line="276" w:lineRule="auto"/>
      </w:pPr>
      <w:r>
        <w:rPr>
          <w:sz w:val="19"/>
        </w:rPr>
        <w:t>pNN50 quantifies the percentage of consecutive intervals differing by more than 50 ms. Poincaré geometry maps each interval RR_i against its successor RR_{i+1}. The transverse axis SD1 quantifies short-term beat-to-beat variability (parasympathetically mediated):</w:t>
      </w:r>
    </w:p>
    <w:p>
      <w:pPr>
        <w:spacing w:before="80" w:after="80"/>
        <w:jc w:val="center"/>
      </w:pPr>
      <w:r>
        <w:rPr>
          <w:rFonts w:ascii="Cambria Math" w:hAnsi="Cambria Math"/>
          <w:b/>
          <w:sz w:val="20"/>
        </w:rPr>
        <w:t xml:space="preserve">    SD_1 = \sqrt{\frac{1}{2}\text{Var}(RR_{i+1} - RR_i)} = \frac{1}{\sqrt{2}}\text{RMSSD}    </w:t>
      </w:r>
      <w:r>
        <w:rPr>
          <w:rFonts w:ascii="Times New Roman" w:hAnsi="Times New Roman"/>
          <w:sz w:val="19"/>
        </w:rPr>
        <w:t>(3)</w:t>
      </w:r>
    </w:p>
    <w:p>
      <w:pPr>
        <w:spacing w:after="100" w:line="276" w:lineRule="auto"/>
      </w:pPr>
      <w:r>
        <w:rPr>
          <w:sz w:val="19"/>
        </w:rPr>
        <w:t>The longitudinal axis SD2 measures continuous long-term dispersion reflecting combined sympathetic and parasympathetic regulation: SD_2 = \sqrt{2\text{Var}(RR) - \frac{1}{2}\text{Var}(RR_{i+1} - RR_i)}.</w:t>
      </w:r>
    </w:p>
    <w:p>
      <w:r>
        <w:drawing>
          <wp:inline xmlns:a="http://schemas.openxmlformats.org/drawingml/2006/main" xmlns:pic="http://schemas.openxmlformats.org/drawingml/2006/picture">
            <wp:extent cx="5303520" cy="2447778"/>
            <wp:docPr id="3" name="Picture 3"/>
            <wp:cNvGraphicFramePr>
              <a:graphicFrameLocks noChangeAspect="1"/>
            </wp:cNvGraphicFramePr>
            <a:graphic>
              <a:graphicData uri="http://schemas.openxmlformats.org/drawingml/2006/picture">
                <pic:pic>
                  <pic:nvPicPr>
                    <pic:cNvPr id="0" name="poincare_plot_comparison.png"/>
                    <pic:cNvPicPr/>
                  </pic:nvPicPr>
                  <pic:blipFill>
                    <a:blip r:embed="rId11"/>
                    <a:stretch>
                      <a:fillRect/>
                    </a:stretch>
                  </pic:blipFill>
                  <pic:spPr>
                    <a:xfrm>
                      <a:off x="0" y="0"/>
                      <a:ext cx="5303520" cy="2447778"/>
                    </a:xfrm>
                    <a:prstGeom prst="rect"/>
                  </pic:spPr>
                </pic:pic>
              </a:graphicData>
            </a:graphic>
          </wp:inline>
        </w:drawing>
      </w:r>
    </w:p>
    <w:p>
      <w:pPr>
        <w:spacing w:after="200"/>
        <w:jc w:val="center"/>
      </w:pPr>
      <w:r>
        <w:rPr>
          <w:i/>
          <w:sz w:val="17"/>
        </w:rPr>
        <w:t>Fig. 3. Poincaré Scatter Comparison: Healthy Young Control (left) exhibits wide elliptical dispersion (SD1: 48.7 ms, SD2: 122.4 ms) reflecting robust vagal reserve, while Elderly Risk Subject (right) exhibits collapsed point-cluster geometry (SD1: 14.1 ms, SD2: 43.6 ms) reflecting autonomic rigidity.</w:t>
      </w:r>
    </w:p>
    <w:p>
      <w:pPr>
        <w:keepNext/>
        <w:spacing w:before="160" w:after="40"/>
      </w:pPr>
      <w:r>
        <w:rPr>
          <w:rFonts w:ascii="Times New Roman" w:hAnsi="Times New Roman"/>
          <w:b/>
          <w:i/>
          <w:sz w:val="20"/>
        </w:rPr>
        <w:t>B. Frequency-Domain Power Spectral Densities</w:t>
      </w:r>
    </w:p>
    <w:p>
      <w:pPr>
        <w:spacing w:after="100" w:line="276" w:lineRule="auto"/>
      </w:pPr>
      <w:r>
        <w:rPr>
          <w:sz w:val="19"/>
        </w:rPr>
        <w:t>Because raw RR interval series are inherently non-uniformly sampled, the beat sequence is interpolated onto a uniform 4.0 Hz temporal grid using cubic splines [4]. Welch's periodogram (Hamming windowing, 50% overlap) computes the power spectral density (PSD). Power is integrated across three physiological bands: Very Low Frequency (VLF: 0.0033–0.04 Hz), Low Frequency (LF: 0.04–0.15 Hz, reflecting sympathetic and baroreflex activity), and High Frequency (HF: 0.15–0.40 Hz, pure vagal respiratory modulation). The sympathovagal balance is captured via the ratio LF/HF, as well as normalized units LF_nu and HF_nu [4].</w:t>
      </w:r>
    </w:p>
    <w:p>
      <w:pPr>
        <w:keepNext/>
        <w:spacing w:before="160" w:after="40"/>
      </w:pPr>
      <w:r>
        <w:rPr>
          <w:rFonts w:ascii="Times New Roman" w:hAnsi="Times New Roman"/>
          <w:b/>
          <w:i/>
          <w:sz w:val="20"/>
        </w:rPr>
        <w:t>C. Cardiopulmonary Coupling (CPC) Dynamics</w:t>
      </w:r>
    </w:p>
    <w:p>
      <w:pPr>
        <w:spacing w:after="100" w:line="276" w:lineRule="auto"/>
      </w:pPr>
      <w:r>
        <w:rPr>
          <w:sz w:val="19"/>
        </w:rPr>
        <w:t>To explicitly quantify cardiorespiratory coordination, continuous respiration and resampled RR intervals are normalized to zero-mean and unit variance. The maximum cross-correlation rho_{max} across physiological lags (tau in [-10s, +10s]) is computed:</w:t>
      </w:r>
    </w:p>
    <w:p>
      <w:pPr>
        <w:spacing w:before="80" w:after="80"/>
        <w:jc w:val="center"/>
      </w:pPr>
      <w:r>
        <w:rPr>
          <w:rFonts w:ascii="Cambria Math" w:hAnsi="Cambria Math"/>
          <w:b/>
          <w:sz w:val="20"/>
        </w:rPr>
        <w:t xml:space="preserve">    \rho_{\max} = \max_{\tau \in [-10, 10]} \frac{1}{T}\int_{0}^{T} \left(\frac{RR(t) - \mu_{RR}}{\sigma_{RR}}\right)\left(\frac{\text{Resp}(t+\tau) - \mu_{\text{Resp}}}{\sigma_{\text{Resp}}}\right) dt    </w:t>
      </w:r>
      <w:r>
        <w:rPr>
          <w:rFonts w:ascii="Times New Roman" w:hAnsi="Times New Roman"/>
          <w:sz w:val="19"/>
        </w:rPr>
        <w:t>(4)</w:t>
      </w:r>
    </w:p>
    <w:p>
      <w:pPr>
        <w:spacing w:after="100" w:line="276" w:lineRule="auto"/>
      </w:pPr>
      <w:r>
        <w:rPr>
          <w:sz w:val="19"/>
        </w:rPr>
        <w:t>Additionally, Respiratory Sinus Arrhythmia (RSA) amplitude is computed as the 90th-to-10th percentile RR excursion, and Cardiopulmonary Phase Coherence is calculated as the product of rho_{max} and a non-linear sigmoidal RSA weighting.</w:t>
      </w:r>
    </w:p>
    <w:p>
      <w:pPr>
        <w:keepNext/>
        <w:spacing w:before="280" w:after="80"/>
      </w:pPr>
      <w:r>
        <w:rPr>
          <w:rFonts w:ascii="Times New Roman" w:hAnsi="Times New Roman"/>
          <w:b/>
          <w:color w:val="0F2537"/>
          <w:sz w:val="22"/>
        </w:rPr>
        <w:t>VI. CLASSIFICATION MODEL ARCHITECTURE &amp; LEAKAGE CONTROL</w:t>
      </w:r>
    </w:p>
    <w:p>
      <w:pPr>
        <w:spacing w:after="100" w:line="276" w:lineRule="auto"/>
      </w:pPr>
      <w:r>
        <w:rPr>
          <w:sz w:val="19"/>
        </w:rPr>
        <w:t>A central tenet of this research is strict adherence to biomedical leakage prevention standards [10]. Signal windowing generates multiple 5-minute segments per subject. A naive random train/test split assigns adjacent windows from the same subject into both partitions, enabling classifiers to memorize unique subject-specific physiological baselines and yielding fraudulent 98%+ accuracies. To enforce clinical validity, we implement a Subject-Level Holdout Protocol: subjects f1y09, f1y10 (young controls) and f1o09, f1o10 (elderly risk) are held out exclusively for final testing (12 segments, 20% holdout). The remaining 16 subjects (48 segments) are utilized for model training and 5-fold Stratified Group Cross-Validation. All feature scaling (StandardScaler) is fitted strictly on the training partition and transformed onto test instances.</w:t>
      </w:r>
    </w:p>
    <w:p>
      <w:pPr>
        <w:spacing w:after="100" w:line="276" w:lineRule="auto"/>
      </w:pPr>
      <w:r>
        <w:rPr>
          <w:sz w:val="19"/>
        </w:rPr>
        <w:t>Six diagnostic architectures are systematically evaluated:</w:t>
        <w:br/>
        <w:t>1) Dummy Classifier: Stratified baseline drawing random predictions from class priors.</w:t>
        <w:br/>
        <w:t>2) Regularized Logistic Regression: Baseline linear model optimized with L2 penalty and lbfgs solver:</w:t>
      </w:r>
    </w:p>
    <w:p>
      <w:pPr>
        <w:spacing w:before="80" w:after="80"/>
        <w:jc w:val="center"/>
      </w:pPr>
      <w:r>
        <w:rPr>
          <w:rFonts w:ascii="Cambria Math" w:hAnsi="Cambria Math"/>
          <w:b/>
          <w:sz w:val="20"/>
        </w:rPr>
        <w:t xml:space="preserve">    p(y=1 \mid \mathbf{x}) = \frac{1}{1 + e^{-(\mathbf{w}^T\mathbf{x} + b)}}    </w:t>
      </w:r>
      <w:r>
        <w:rPr>
          <w:rFonts w:ascii="Times New Roman" w:hAnsi="Times New Roman"/>
          <w:sz w:val="19"/>
        </w:rPr>
        <w:t>(5)</w:t>
      </w:r>
    </w:p>
    <w:p>
      <w:pPr>
        <w:spacing w:after="100" w:line="276" w:lineRule="auto"/>
      </w:pPr>
      <w:r>
        <w:rPr>
          <w:sz w:val="19"/>
        </w:rPr>
        <w:t>3) Support Vector Machine (SVM): Radial Basis Function (RBF) kernel mapping non-linear feature interactions with probability calibration (C = 1.0).</w:t>
        <w:br/>
        <w:t>4) Random Forest Classifier: Ensemble of 100 decorrelated decision trees with max depth of 5, mitigating individual tree variance.</w:t>
        <w:br/>
        <w:t>5) Gradient Boosting Classifier: Sequential boosting ensemble (100 estimators, learning rate = 0.08, max depth = 3) minimizing cross-entropy loss.</w:t>
        <w:br/>
        <w:t>6) Soft Voting Ensemble: Blended meta-estimator averaging predicted posterior probabilities from Logistic Regression, Random Forest, and Gradient Boosting.</w:t>
      </w:r>
    </w:p>
    <w:p>
      <w:pPr>
        <w:keepNext/>
        <w:spacing w:before="280" w:after="80"/>
      </w:pPr>
      <w:r>
        <w:rPr>
          <w:rFonts w:ascii="Times New Roman" w:hAnsi="Times New Roman"/>
          <w:b/>
          <w:color w:val="0F2537"/>
          <w:sz w:val="22"/>
        </w:rPr>
        <w:t>VII. RESULTS AND COMPARATIVE ANALYSIS</w:t>
      </w:r>
    </w:p>
    <w:p>
      <w:pPr>
        <w:spacing w:after="100" w:line="276" w:lineRule="auto"/>
      </w:pPr>
      <w:r>
        <w:rPr>
          <w:sz w:val="19"/>
        </w:rPr>
        <w:t>Model performance is assessed using rigorous, mathematically standardized classification metrics on the held-out test subjects:</w:t>
      </w:r>
    </w:p>
    <w:p>
      <w:pPr>
        <w:spacing w:before="80" w:after="80"/>
        <w:jc w:val="center"/>
      </w:pPr>
      <w:r>
        <w:rPr>
          <w:rFonts w:ascii="Cambria Math" w:hAnsi="Cambria Math"/>
          <w:b/>
          <w:sz w:val="20"/>
        </w:rPr>
        <w:t xml:space="preserve">    \text{Accuracy} = \frac{TP + TN}{TP + TN + FP + FN}, \quad \text{Precision} = \frac{TP}{TP + FP}    </w:t>
      </w:r>
      <w:r>
        <w:rPr>
          <w:rFonts w:ascii="Times New Roman" w:hAnsi="Times New Roman"/>
          <w:sz w:val="19"/>
        </w:rPr>
        <w:t>(6)</w:t>
      </w:r>
    </w:p>
    <w:p>
      <w:pPr>
        <w:spacing w:before="80" w:after="80"/>
        <w:jc w:val="center"/>
      </w:pPr>
      <w:r>
        <w:rPr>
          <w:rFonts w:ascii="Cambria Math" w:hAnsi="Cambria Math"/>
          <w:b/>
          <w:sz w:val="20"/>
        </w:rPr>
        <w:t xml:space="preserve">    \text{Recall (Sensitivity)} = \frac{TP}{TP + FN}, \quad \text{Specificity} = \frac{TN}{TN + FP}    </w:t>
      </w:r>
      <w:r>
        <w:rPr>
          <w:rFonts w:ascii="Times New Roman" w:hAnsi="Times New Roman"/>
          <w:sz w:val="19"/>
        </w:rPr>
        <w:t>(7)</w:t>
      </w:r>
    </w:p>
    <w:p>
      <w:pPr>
        <w:spacing w:before="80" w:after="80"/>
        <w:jc w:val="center"/>
      </w:pPr>
      <w:r>
        <w:rPr>
          <w:rFonts w:ascii="Cambria Math" w:hAnsi="Cambria Math"/>
          <w:b/>
          <w:sz w:val="20"/>
        </w:rPr>
        <w:t xml:space="preserve">    \text{F1-Score} = 2 \times \frac{\text{Precision} \times \text{Recall}}{\text{Precision} + \text{Recall}}    </w:t>
      </w:r>
      <w:r>
        <w:rPr>
          <w:rFonts w:ascii="Times New Roman" w:hAnsi="Times New Roman"/>
          <w:sz w:val="19"/>
        </w:rPr>
        <w:t>(8)</w:t>
      </w:r>
    </w:p>
    <w:p>
      <w:pPr>
        <w:spacing w:after="100" w:line="276" w:lineRule="auto"/>
      </w:pPr>
      <w:r>
        <w:rPr>
          <w:sz w:val="19"/>
        </w:rPr>
        <w:t>Table II summarizes the genuine empirical evaluation metrics across all six models on the held-out test cohort.</w:t>
      </w:r>
    </w:p>
    <w:p>
      <w:pPr>
        <w:keepNext/>
        <w:spacing w:before="120" w:after="40"/>
      </w:pPr>
      <w:r>
        <w:rPr>
          <w:b/>
          <w:sz w:val="17"/>
        </w:rPr>
        <w:t>TABLE II: HELD-OUT TEST PERFORMANCE BENCHMARK ACROSS CLASSIFIERS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F2537"/>
          </w:tcPr>
          <w:p>
            <w:pPr>
              <w:jc w:val="center"/>
            </w:pPr>
            <w:r>
              <w:rPr>
                <w:b/>
                <w:color w:val="FFFFFF"/>
                <w:sz w:val="16"/>
              </w:rPr>
              <w:t>Classifier Architecture</w:t>
            </w:r>
          </w:p>
        </w:tc>
        <w:tc>
          <w:tcPr>
            <w:tcW w:type="dxa" w:w="1440"/>
            <w:shd w:fill="0F2537"/>
          </w:tcPr>
          <w:p>
            <w:pPr>
              <w:jc w:val="center"/>
            </w:pPr>
            <w:r>
              <w:rPr>
                <w:b/>
                <w:color w:val="FFFFFF"/>
                <w:sz w:val="16"/>
              </w:rPr>
              <w:t>Accuracy</w:t>
            </w:r>
          </w:p>
        </w:tc>
        <w:tc>
          <w:tcPr>
            <w:tcW w:type="dxa" w:w="1440"/>
            <w:shd w:fill="0F2537"/>
          </w:tcPr>
          <w:p>
            <w:pPr>
              <w:jc w:val="center"/>
            </w:pPr>
            <w:r>
              <w:rPr>
                <w:b/>
                <w:color w:val="FFFFFF"/>
                <w:sz w:val="16"/>
              </w:rPr>
              <w:t>Recall (Sens.)</w:t>
            </w:r>
          </w:p>
        </w:tc>
        <w:tc>
          <w:tcPr>
            <w:tcW w:type="dxa" w:w="1440"/>
            <w:shd w:fill="0F2537"/>
          </w:tcPr>
          <w:p>
            <w:pPr>
              <w:jc w:val="center"/>
            </w:pPr>
            <w:r>
              <w:rPr>
                <w:b/>
                <w:color w:val="FFFFFF"/>
                <w:sz w:val="16"/>
              </w:rPr>
              <w:t>Specificity</w:t>
            </w:r>
          </w:p>
        </w:tc>
        <w:tc>
          <w:tcPr>
            <w:tcW w:type="dxa" w:w="1440"/>
            <w:shd w:fill="0F2537"/>
          </w:tcPr>
          <w:p>
            <w:pPr>
              <w:jc w:val="center"/>
            </w:pPr>
            <w:r>
              <w:rPr>
                <w:b/>
                <w:color w:val="FFFFFF"/>
                <w:sz w:val="16"/>
              </w:rPr>
              <w:t>F1-Score</w:t>
            </w:r>
          </w:p>
        </w:tc>
        <w:tc>
          <w:tcPr>
            <w:tcW w:type="dxa" w:w="1440"/>
            <w:shd w:fill="0F2537"/>
          </w:tcPr>
          <w:p>
            <w:pPr>
              <w:jc w:val="center"/>
            </w:pPr>
            <w:r>
              <w:rPr>
                <w:b/>
                <w:color w:val="FFFFFF"/>
                <w:sz w:val="16"/>
              </w:rPr>
              <w:t>Bal. Acc.</w:t>
            </w:r>
          </w:p>
        </w:tc>
        <w:tc>
          <w:tcPr>
            <w:tcW w:type="dxa" w:w="1440"/>
            <w:shd w:fill="0F2537"/>
          </w:tcPr>
          <w:p>
            <w:pPr>
              <w:jc w:val="center"/>
            </w:pPr>
            <w:r>
              <w:rPr>
                <w:b/>
                <w:color w:val="FFFFFF"/>
                <w:sz w:val="16"/>
              </w:rPr>
              <w:t>ROC-AUC</w:t>
            </w:r>
          </w:p>
        </w:tc>
      </w:tr>
      <w:tr>
        <w:tc>
          <w:tcPr>
            <w:tcW w:type="dxa" w:w="1440"/>
            <w:tcMar>
              <w:top w:w="50" w:type="dxa"/>
              <w:bottom w:w="50" w:type="dxa"/>
              <w:left w:w="80" w:type="dxa"/>
              <w:right w:w="80" w:type="dxa"/>
            </w:tcMar>
            <w:shd w:fill="F2F4F4"/>
          </w:tcPr>
          <w:p>
            <w:r>
              <w:rPr>
                <w:sz w:val="16"/>
              </w:rPr>
              <w:t>Dummy Baseline</w:t>
            </w:r>
          </w:p>
        </w:tc>
        <w:tc>
          <w:tcPr>
            <w:tcW w:type="dxa" w:w="1440"/>
            <w:tcMar>
              <w:top w:w="50" w:type="dxa"/>
              <w:bottom w:w="50" w:type="dxa"/>
              <w:left w:w="80" w:type="dxa"/>
              <w:right w:w="80" w:type="dxa"/>
            </w:tcMar>
            <w:shd w:fill="F2F4F4"/>
          </w:tcPr>
          <w:p>
            <w:pPr>
              <w:jc w:val="right"/>
            </w:pPr>
            <w:r>
              <w:rPr>
                <w:sz w:val="16"/>
              </w:rPr>
              <w:t>0.4167</w:t>
            </w:r>
          </w:p>
        </w:tc>
        <w:tc>
          <w:tcPr>
            <w:tcW w:type="dxa" w:w="1440"/>
            <w:tcMar>
              <w:top w:w="50" w:type="dxa"/>
              <w:bottom w:w="50" w:type="dxa"/>
              <w:left w:w="80" w:type="dxa"/>
              <w:right w:w="80" w:type="dxa"/>
            </w:tcMar>
            <w:shd w:fill="F2F4F4"/>
          </w:tcPr>
          <w:p>
            <w:pPr>
              <w:jc w:val="right"/>
            </w:pPr>
            <w:r>
              <w:rPr>
                <w:sz w:val="16"/>
              </w:rPr>
              <w:t>0.3333</w:t>
            </w:r>
          </w:p>
        </w:tc>
        <w:tc>
          <w:tcPr>
            <w:tcW w:type="dxa" w:w="1440"/>
            <w:tcMar>
              <w:top w:w="50" w:type="dxa"/>
              <w:bottom w:w="50" w:type="dxa"/>
              <w:left w:w="80" w:type="dxa"/>
              <w:right w:w="80" w:type="dxa"/>
            </w:tcMar>
            <w:shd w:fill="F2F4F4"/>
          </w:tcPr>
          <w:p>
            <w:pPr>
              <w:jc w:val="right"/>
            </w:pPr>
            <w:r>
              <w:rPr>
                <w:sz w:val="16"/>
              </w:rPr>
              <w:t>0.5000</w:t>
            </w:r>
          </w:p>
        </w:tc>
        <w:tc>
          <w:tcPr>
            <w:tcW w:type="dxa" w:w="1440"/>
            <w:tcMar>
              <w:top w:w="50" w:type="dxa"/>
              <w:bottom w:w="50" w:type="dxa"/>
              <w:left w:w="80" w:type="dxa"/>
              <w:right w:w="80" w:type="dxa"/>
            </w:tcMar>
            <w:shd w:fill="F2F4F4"/>
          </w:tcPr>
          <w:p>
            <w:pPr>
              <w:jc w:val="right"/>
            </w:pPr>
            <w:r>
              <w:rPr>
                <w:sz w:val="16"/>
              </w:rPr>
              <w:t>0.3636</w:t>
            </w:r>
          </w:p>
        </w:tc>
        <w:tc>
          <w:tcPr>
            <w:tcW w:type="dxa" w:w="1440"/>
            <w:tcMar>
              <w:top w:w="50" w:type="dxa"/>
              <w:bottom w:w="50" w:type="dxa"/>
              <w:left w:w="80" w:type="dxa"/>
              <w:right w:w="80" w:type="dxa"/>
            </w:tcMar>
            <w:shd w:fill="F2F4F4"/>
          </w:tcPr>
          <w:p>
            <w:pPr>
              <w:jc w:val="right"/>
            </w:pPr>
            <w:r>
              <w:rPr>
                <w:sz w:val="16"/>
              </w:rPr>
              <w:t>0.4167</w:t>
            </w:r>
          </w:p>
        </w:tc>
        <w:tc>
          <w:tcPr>
            <w:tcW w:type="dxa" w:w="1440"/>
            <w:tcMar>
              <w:top w:w="50" w:type="dxa"/>
              <w:bottom w:w="50" w:type="dxa"/>
              <w:left w:w="80" w:type="dxa"/>
              <w:right w:w="80" w:type="dxa"/>
            </w:tcMar>
            <w:shd w:fill="F2F4F4"/>
          </w:tcPr>
          <w:p>
            <w:pPr>
              <w:jc w:val="right"/>
            </w:pPr>
            <w:r>
              <w:rPr>
                <w:sz w:val="16"/>
              </w:rPr>
              <w:t>0.4167</w:t>
            </w:r>
          </w:p>
        </w:tc>
      </w:tr>
      <w:tr>
        <w:tc>
          <w:tcPr>
            <w:tcW w:type="dxa" w:w="1440"/>
            <w:tcMar>
              <w:top w:w="50" w:type="dxa"/>
              <w:bottom w:w="50" w:type="dxa"/>
              <w:left w:w="80" w:type="dxa"/>
              <w:right w:w="80" w:type="dxa"/>
            </w:tcMar>
          </w:tcPr>
          <w:p>
            <w:r>
              <w:rPr>
                <w:sz w:val="16"/>
              </w:rPr>
              <w:t>Gradient Boosting</w:t>
            </w:r>
          </w:p>
        </w:tc>
        <w:tc>
          <w:tcPr>
            <w:tcW w:type="dxa" w:w="1440"/>
            <w:tcMar>
              <w:top w:w="50" w:type="dxa"/>
              <w:bottom w:w="50" w:type="dxa"/>
              <w:left w:w="80" w:type="dxa"/>
              <w:right w:w="80" w:type="dxa"/>
            </w:tcMar>
          </w:tcPr>
          <w:p>
            <w:pPr>
              <w:jc w:val="right"/>
            </w:pPr>
            <w:r>
              <w:rPr>
                <w:sz w:val="16"/>
              </w:rPr>
              <w:t>0.6667</w:t>
            </w:r>
          </w:p>
        </w:tc>
        <w:tc>
          <w:tcPr>
            <w:tcW w:type="dxa" w:w="1440"/>
            <w:tcMar>
              <w:top w:w="50" w:type="dxa"/>
              <w:bottom w:w="50" w:type="dxa"/>
              <w:left w:w="80" w:type="dxa"/>
              <w:right w:w="80" w:type="dxa"/>
            </w:tcMar>
          </w:tcPr>
          <w:p>
            <w:pPr>
              <w:jc w:val="right"/>
            </w:pPr>
            <w:r>
              <w:rPr>
                <w:sz w:val="16"/>
              </w:rPr>
              <w:t>0.5000</w:t>
            </w:r>
          </w:p>
        </w:tc>
        <w:tc>
          <w:tcPr>
            <w:tcW w:type="dxa" w:w="1440"/>
            <w:tcMar>
              <w:top w:w="50" w:type="dxa"/>
              <w:bottom w:w="50" w:type="dxa"/>
              <w:left w:w="80" w:type="dxa"/>
              <w:right w:w="80" w:type="dxa"/>
            </w:tcMar>
          </w:tcPr>
          <w:p>
            <w:pPr>
              <w:jc w:val="right"/>
            </w:pPr>
            <w:r>
              <w:rPr>
                <w:sz w:val="16"/>
              </w:rPr>
              <w:t>0.8333</w:t>
            </w:r>
          </w:p>
        </w:tc>
        <w:tc>
          <w:tcPr>
            <w:tcW w:type="dxa" w:w="1440"/>
            <w:tcMar>
              <w:top w:w="50" w:type="dxa"/>
              <w:bottom w:w="50" w:type="dxa"/>
              <w:left w:w="80" w:type="dxa"/>
              <w:right w:w="80" w:type="dxa"/>
            </w:tcMar>
          </w:tcPr>
          <w:p>
            <w:pPr>
              <w:jc w:val="right"/>
            </w:pPr>
            <w:r>
              <w:rPr>
                <w:sz w:val="16"/>
              </w:rPr>
              <w:t>0.6000</w:t>
            </w:r>
          </w:p>
        </w:tc>
        <w:tc>
          <w:tcPr>
            <w:tcW w:type="dxa" w:w="1440"/>
            <w:tcMar>
              <w:top w:w="50" w:type="dxa"/>
              <w:bottom w:w="50" w:type="dxa"/>
              <w:left w:w="80" w:type="dxa"/>
              <w:right w:w="80" w:type="dxa"/>
            </w:tcMar>
          </w:tcPr>
          <w:p>
            <w:pPr>
              <w:jc w:val="right"/>
            </w:pPr>
            <w:r>
              <w:rPr>
                <w:sz w:val="16"/>
              </w:rPr>
              <w:t>0.6667</w:t>
            </w:r>
          </w:p>
        </w:tc>
        <w:tc>
          <w:tcPr>
            <w:tcW w:type="dxa" w:w="1440"/>
            <w:tcMar>
              <w:top w:w="50" w:type="dxa"/>
              <w:bottom w:w="50" w:type="dxa"/>
              <w:left w:w="80" w:type="dxa"/>
              <w:right w:w="80" w:type="dxa"/>
            </w:tcMar>
          </w:tcPr>
          <w:p>
            <w:pPr>
              <w:jc w:val="right"/>
            </w:pPr>
            <w:r>
              <w:rPr>
                <w:sz w:val="16"/>
              </w:rPr>
              <w:t>0.9167</w:t>
            </w:r>
          </w:p>
        </w:tc>
      </w:tr>
      <w:tr>
        <w:tc>
          <w:tcPr>
            <w:tcW w:type="dxa" w:w="1440"/>
            <w:tcMar>
              <w:top w:w="50" w:type="dxa"/>
              <w:bottom w:w="50" w:type="dxa"/>
              <w:left w:w="80" w:type="dxa"/>
              <w:right w:w="80" w:type="dxa"/>
            </w:tcMar>
            <w:shd w:fill="F2F4F4"/>
          </w:tcPr>
          <w:p>
            <w:r>
              <w:rPr>
                <w:sz w:val="16"/>
              </w:rPr>
              <w:t>Logistic Regression</w:t>
            </w:r>
          </w:p>
        </w:tc>
        <w:tc>
          <w:tcPr>
            <w:tcW w:type="dxa" w:w="1440"/>
            <w:tcMar>
              <w:top w:w="50" w:type="dxa"/>
              <w:bottom w:w="50" w:type="dxa"/>
              <w:left w:w="80" w:type="dxa"/>
              <w:right w:w="80" w:type="dxa"/>
            </w:tcMar>
            <w:shd w:fill="F2F4F4"/>
          </w:tcPr>
          <w:p>
            <w:pPr>
              <w:jc w:val="right"/>
            </w:pPr>
            <w:r>
              <w:rPr>
                <w:sz w:val="16"/>
              </w:rPr>
              <w:t>0.6667</w:t>
            </w:r>
          </w:p>
        </w:tc>
        <w:tc>
          <w:tcPr>
            <w:tcW w:type="dxa" w:w="1440"/>
            <w:tcMar>
              <w:top w:w="50" w:type="dxa"/>
              <w:bottom w:w="50" w:type="dxa"/>
              <w:left w:w="80" w:type="dxa"/>
              <w:right w:w="80" w:type="dxa"/>
            </w:tcMar>
            <w:shd w:fill="F2F4F4"/>
          </w:tcPr>
          <w:p>
            <w:pPr>
              <w:jc w:val="right"/>
            </w:pPr>
            <w:r>
              <w:rPr>
                <w:sz w:val="16"/>
              </w:rPr>
              <w:t>0.3333</w:t>
            </w:r>
          </w:p>
        </w:tc>
        <w:tc>
          <w:tcPr>
            <w:tcW w:type="dxa" w:w="1440"/>
            <w:tcMar>
              <w:top w:w="50" w:type="dxa"/>
              <w:bottom w:w="50" w:type="dxa"/>
              <w:left w:w="80" w:type="dxa"/>
              <w:right w:w="80" w:type="dxa"/>
            </w:tcMar>
            <w:shd w:fill="F2F4F4"/>
          </w:tcPr>
          <w:p>
            <w:pPr>
              <w:jc w:val="right"/>
            </w:pPr>
            <w:r>
              <w:rPr>
                <w:sz w:val="16"/>
              </w:rPr>
              <w:t>1.0000</w:t>
            </w:r>
          </w:p>
        </w:tc>
        <w:tc>
          <w:tcPr>
            <w:tcW w:type="dxa" w:w="1440"/>
            <w:tcMar>
              <w:top w:w="50" w:type="dxa"/>
              <w:bottom w:w="50" w:type="dxa"/>
              <w:left w:w="80" w:type="dxa"/>
              <w:right w:w="80" w:type="dxa"/>
            </w:tcMar>
            <w:shd w:fill="F2F4F4"/>
          </w:tcPr>
          <w:p>
            <w:pPr>
              <w:jc w:val="right"/>
            </w:pPr>
            <w:r>
              <w:rPr>
                <w:sz w:val="16"/>
              </w:rPr>
              <w:t>0.5000</w:t>
            </w:r>
          </w:p>
        </w:tc>
        <w:tc>
          <w:tcPr>
            <w:tcW w:type="dxa" w:w="1440"/>
            <w:tcMar>
              <w:top w:w="50" w:type="dxa"/>
              <w:bottom w:w="50" w:type="dxa"/>
              <w:left w:w="80" w:type="dxa"/>
              <w:right w:w="80" w:type="dxa"/>
            </w:tcMar>
            <w:shd w:fill="F2F4F4"/>
          </w:tcPr>
          <w:p>
            <w:pPr>
              <w:jc w:val="right"/>
            </w:pPr>
            <w:r>
              <w:rPr>
                <w:sz w:val="16"/>
              </w:rPr>
              <w:t>0.6667</w:t>
            </w:r>
          </w:p>
        </w:tc>
        <w:tc>
          <w:tcPr>
            <w:tcW w:type="dxa" w:w="1440"/>
            <w:tcMar>
              <w:top w:w="50" w:type="dxa"/>
              <w:bottom w:w="50" w:type="dxa"/>
              <w:left w:w="80" w:type="dxa"/>
              <w:right w:w="80" w:type="dxa"/>
            </w:tcMar>
            <w:shd w:fill="F2F4F4"/>
          </w:tcPr>
          <w:p>
            <w:pPr>
              <w:jc w:val="right"/>
            </w:pPr>
            <w:r>
              <w:rPr>
                <w:sz w:val="16"/>
              </w:rPr>
              <w:t>0.7778</w:t>
            </w:r>
          </w:p>
        </w:tc>
      </w:tr>
      <w:tr>
        <w:tc>
          <w:tcPr>
            <w:tcW w:type="dxa" w:w="1440"/>
            <w:tcMar>
              <w:top w:w="50" w:type="dxa"/>
              <w:bottom w:w="50" w:type="dxa"/>
              <w:left w:w="80" w:type="dxa"/>
              <w:right w:w="80" w:type="dxa"/>
            </w:tcMar>
            <w:shd w:fill="D4EFDF"/>
          </w:tcPr>
          <w:p>
            <w:r>
              <w:rPr>
                <w:b/>
                <w:sz w:val="16"/>
              </w:rPr>
              <w:t>Random Forest</w:t>
            </w:r>
          </w:p>
        </w:tc>
        <w:tc>
          <w:tcPr>
            <w:tcW w:type="dxa" w:w="1440"/>
            <w:tcMar>
              <w:top w:w="50" w:type="dxa"/>
              <w:bottom w:w="50" w:type="dxa"/>
              <w:left w:w="80" w:type="dxa"/>
              <w:right w:w="80" w:type="dxa"/>
            </w:tcMar>
            <w:shd w:fill="D4EFDF"/>
          </w:tcPr>
          <w:p>
            <w:pPr>
              <w:jc w:val="right"/>
            </w:pPr>
            <w:r>
              <w:rPr>
                <w:b/>
                <w:sz w:val="16"/>
              </w:rPr>
              <w:t>0.7500</w:t>
            </w:r>
          </w:p>
        </w:tc>
        <w:tc>
          <w:tcPr>
            <w:tcW w:type="dxa" w:w="1440"/>
            <w:tcMar>
              <w:top w:w="50" w:type="dxa"/>
              <w:bottom w:w="50" w:type="dxa"/>
              <w:left w:w="80" w:type="dxa"/>
              <w:right w:w="80" w:type="dxa"/>
            </w:tcMar>
            <w:shd w:fill="D4EFDF"/>
          </w:tcPr>
          <w:p>
            <w:pPr>
              <w:jc w:val="right"/>
            </w:pPr>
            <w:r>
              <w:rPr>
                <w:b/>
                <w:sz w:val="16"/>
              </w:rPr>
              <w:t>0.5000</w:t>
            </w:r>
          </w:p>
        </w:tc>
        <w:tc>
          <w:tcPr>
            <w:tcW w:type="dxa" w:w="1440"/>
            <w:tcMar>
              <w:top w:w="50" w:type="dxa"/>
              <w:bottom w:w="50" w:type="dxa"/>
              <w:left w:w="80" w:type="dxa"/>
              <w:right w:w="80" w:type="dxa"/>
            </w:tcMar>
            <w:shd w:fill="D4EFDF"/>
          </w:tcPr>
          <w:p>
            <w:pPr>
              <w:jc w:val="right"/>
            </w:pPr>
            <w:r>
              <w:rPr>
                <w:b/>
                <w:sz w:val="16"/>
              </w:rPr>
              <w:t>1.0000</w:t>
            </w:r>
          </w:p>
        </w:tc>
        <w:tc>
          <w:tcPr>
            <w:tcW w:type="dxa" w:w="1440"/>
            <w:tcMar>
              <w:top w:w="50" w:type="dxa"/>
              <w:bottom w:w="50" w:type="dxa"/>
              <w:left w:w="80" w:type="dxa"/>
              <w:right w:w="80" w:type="dxa"/>
            </w:tcMar>
            <w:shd w:fill="D4EFDF"/>
          </w:tcPr>
          <w:p>
            <w:pPr>
              <w:jc w:val="right"/>
            </w:pPr>
            <w:r>
              <w:rPr>
                <w:b/>
                <w:sz w:val="16"/>
              </w:rPr>
              <w:t>0.6667</w:t>
            </w:r>
          </w:p>
        </w:tc>
        <w:tc>
          <w:tcPr>
            <w:tcW w:type="dxa" w:w="1440"/>
            <w:tcMar>
              <w:top w:w="50" w:type="dxa"/>
              <w:bottom w:w="50" w:type="dxa"/>
              <w:left w:w="80" w:type="dxa"/>
              <w:right w:w="80" w:type="dxa"/>
            </w:tcMar>
            <w:shd w:fill="D4EFDF"/>
          </w:tcPr>
          <w:p>
            <w:pPr>
              <w:jc w:val="right"/>
            </w:pPr>
            <w:r>
              <w:rPr>
                <w:b/>
                <w:sz w:val="16"/>
              </w:rPr>
              <w:t>0.7500</w:t>
            </w:r>
          </w:p>
        </w:tc>
        <w:tc>
          <w:tcPr>
            <w:tcW w:type="dxa" w:w="1440"/>
            <w:tcMar>
              <w:top w:w="50" w:type="dxa"/>
              <w:bottom w:w="50" w:type="dxa"/>
              <w:left w:w="80" w:type="dxa"/>
              <w:right w:w="80" w:type="dxa"/>
            </w:tcMar>
            <w:shd w:fill="D4EFDF"/>
          </w:tcPr>
          <w:p>
            <w:pPr>
              <w:jc w:val="right"/>
            </w:pPr>
            <w:r>
              <w:rPr>
                <w:b/>
                <w:sz w:val="16"/>
              </w:rPr>
              <w:t>0.9167</w:t>
            </w:r>
          </w:p>
        </w:tc>
      </w:tr>
      <w:tr>
        <w:tc>
          <w:tcPr>
            <w:tcW w:type="dxa" w:w="1440"/>
            <w:tcMar>
              <w:top w:w="50" w:type="dxa"/>
              <w:bottom w:w="50" w:type="dxa"/>
              <w:left w:w="80" w:type="dxa"/>
              <w:right w:w="80" w:type="dxa"/>
            </w:tcMar>
            <w:shd w:fill="F2F4F4"/>
          </w:tcPr>
          <w:p>
            <w:r>
              <w:rPr>
                <w:sz w:val="16"/>
              </w:rPr>
              <w:t>Soft Voting Ensemble</w:t>
            </w:r>
          </w:p>
        </w:tc>
        <w:tc>
          <w:tcPr>
            <w:tcW w:type="dxa" w:w="1440"/>
            <w:tcMar>
              <w:top w:w="50" w:type="dxa"/>
              <w:bottom w:w="50" w:type="dxa"/>
              <w:left w:w="80" w:type="dxa"/>
              <w:right w:w="80" w:type="dxa"/>
            </w:tcMar>
            <w:shd w:fill="F2F4F4"/>
          </w:tcPr>
          <w:p>
            <w:pPr>
              <w:jc w:val="right"/>
            </w:pPr>
            <w:r>
              <w:rPr>
                <w:sz w:val="16"/>
              </w:rPr>
              <w:t>0.6667</w:t>
            </w:r>
          </w:p>
        </w:tc>
        <w:tc>
          <w:tcPr>
            <w:tcW w:type="dxa" w:w="1440"/>
            <w:tcMar>
              <w:top w:w="50" w:type="dxa"/>
              <w:bottom w:w="50" w:type="dxa"/>
              <w:left w:w="80" w:type="dxa"/>
              <w:right w:w="80" w:type="dxa"/>
            </w:tcMar>
            <w:shd w:fill="F2F4F4"/>
          </w:tcPr>
          <w:p>
            <w:pPr>
              <w:jc w:val="right"/>
            </w:pPr>
            <w:r>
              <w:rPr>
                <w:sz w:val="16"/>
              </w:rPr>
              <w:t>0.5000</w:t>
            </w:r>
          </w:p>
        </w:tc>
        <w:tc>
          <w:tcPr>
            <w:tcW w:type="dxa" w:w="1440"/>
            <w:tcMar>
              <w:top w:w="50" w:type="dxa"/>
              <w:bottom w:w="50" w:type="dxa"/>
              <w:left w:w="80" w:type="dxa"/>
              <w:right w:w="80" w:type="dxa"/>
            </w:tcMar>
            <w:shd w:fill="F2F4F4"/>
          </w:tcPr>
          <w:p>
            <w:pPr>
              <w:jc w:val="right"/>
            </w:pPr>
            <w:r>
              <w:rPr>
                <w:sz w:val="16"/>
              </w:rPr>
              <w:t>0.8333</w:t>
            </w:r>
          </w:p>
        </w:tc>
        <w:tc>
          <w:tcPr>
            <w:tcW w:type="dxa" w:w="1440"/>
            <w:tcMar>
              <w:top w:w="50" w:type="dxa"/>
              <w:bottom w:w="50" w:type="dxa"/>
              <w:left w:w="80" w:type="dxa"/>
              <w:right w:w="80" w:type="dxa"/>
            </w:tcMar>
            <w:shd w:fill="F2F4F4"/>
          </w:tcPr>
          <w:p>
            <w:pPr>
              <w:jc w:val="right"/>
            </w:pPr>
            <w:r>
              <w:rPr>
                <w:sz w:val="16"/>
              </w:rPr>
              <w:t>0.6000</w:t>
            </w:r>
          </w:p>
        </w:tc>
        <w:tc>
          <w:tcPr>
            <w:tcW w:type="dxa" w:w="1440"/>
            <w:tcMar>
              <w:top w:w="50" w:type="dxa"/>
              <w:bottom w:w="50" w:type="dxa"/>
              <w:left w:w="80" w:type="dxa"/>
              <w:right w:w="80" w:type="dxa"/>
            </w:tcMar>
            <w:shd w:fill="F2F4F4"/>
          </w:tcPr>
          <w:p>
            <w:pPr>
              <w:jc w:val="right"/>
            </w:pPr>
            <w:r>
              <w:rPr>
                <w:sz w:val="16"/>
              </w:rPr>
              <w:t>0.6667</w:t>
            </w:r>
          </w:p>
        </w:tc>
        <w:tc>
          <w:tcPr>
            <w:tcW w:type="dxa" w:w="1440"/>
            <w:tcMar>
              <w:top w:w="50" w:type="dxa"/>
              <w:bottom w:w="50" w:type="dxa"/>
              <w:left w:w="80" w:type="dxa"/>
              <w:right w:w="80" w:type="dxa"/>
            </w:tcMar>
            <w:shd w:fill="F2F4F4"/>
          </w:tcPr>
          <w:p>
            <w:pPr>
              <w:jc w:val="right"/>
            </w:pPr>
            <w:r>
              <w:rPr>
                <w:sz w:val="16"/>
              </w:rPr>
              <w:t>0.8056</w:t>
            </w:r>
          </w:p>
        </w:tc>
      </w:tr>
      <w:tr>
        <w:tc>
          <w:tcPr>
            <w:tcW w:type="dxa" w:w="1440"/>
            <w:tcMar>
              <w:top w:w="50" w:type="dxa"/>
              <w:bottom w:w="50" w:type="dxa"/>
              <w:left w:w="80" w:type="dxa"/>
              <w:right w:w="80" w:type="dxa"/>
            </w:tcMar>
            <w:shd w:fill="D4EFDF"/>
          </w:tcPr>
          <w:p>
            <w:r>
              <w:rPr>
                <w:sz w:val="16"/>
              </w:rPr>
              <w:t>Support Vector Machine</w:t>
            </w:r>
          </w:p>
        </w:tc>
        <w:tc>
          <w:tcPr>
            <w:tcW w:type="dxa" w:w="1440"/>
            <w:tcMar>
              <w:top w:w="50" w:type="dxa"/>
              <w:bottom w:w="50" w:type="dxa"/>
              <w:left w:w="80" w:type="dxa"/>
              <w:right w:w="80" w:type="dxa"/>
            </w:tcMar>
            <w:shd w:fill="D4EFDF"/>
          </w:tcPr>
          <w:p>
            <w:pPr>
              <w:jc w:val="right"/>
            </w:pPr>
            <w:r>
              <w:rPr>
                <w:sz w:val="16"/>
              </w:rPr>
              <w:t>0.7500</w:t>
            </w:r>
          </w:p>
        </w:tc>
        <w:tc>
          <w:tcPr>
            <w:tcW w:type="dxa" w:w="1440"/>
            <w:tcMar>
              <w:top w:w="50" w:type="dxa"/>
              <w:bottom w:w="50" w:type="dxa"/>
              <w:left w:w="80" w:type="dxa"/>
              <w:right w:w="80" w:type="dxa"/>
            </w:tcMar>
            <w:shd w:fill="D4EFDF"/>
          </w:tcPr>
          <w:p>
            <w:pPr>
              <w:jc w:val="right"/>
            </w:pPr>
            <w:r>
              <w:rPr>
                <w:sz w:val="16"/>
              </w:rPr>
              <w:t>0.5000</w:t>
            </w:r>
          </w:p>
        </w:tc>
        <w:tc>
          <w:tcPr>
            <w:tcW w:type="dxa" w:w="1440"/>
            <w:tcMar>
              <w:top w:w="50" w:type="dxa"/>
              <w:bottom w:w="50" w:type="dxa"/>
              <w:left w:w="80" w:type="dxa"/>
              <w:right w:w="80" w:type="dxa"/>
            </w:tcMar>
            <w:shd w:fill="D4EFDF"/>
          </w:tcPr>
          <w:p>
            <w:pPr>
              <w:jc w:val="right"/>
            </w:pPr>
            <w:r>
              <w:rPr>
                <w:sz w:val="16"/>
              </w:rPr>
              <w:t>1.0000</w:t>
            </w:r>
          </w:p>
        </w:tc>
        <w:tc>
          <w:tcPr>
            <w:tcW w:type="dxa" w:w="1440"/>
            <w:tcMar>
              <w:top w:w="50" w:type="dxa"/>
              <w:bottom w:w="50" w:type="dxa"/>
              <w:left w:w="80" w:type="dxa"/>
              <w:right w:w="80" w:type="dxa"/>
            </w:tcMar>
            <w:shd w:fill="D4EFDF"/>
          </w:tcPr>
          <w:p>
            <w:pPr>
              <w:jc w:val="right"/>
            </w:pPr>
            <w:r>
              <w:rPr>
                <w:sz w:val="16"/>
              </w:rPr>
              <w:t>0.6667</w:t>
            </w:r>
          </w:p>
        </w:tc>
        <w:tc>
          <w:tcPr>
            <w:tcW w:type="dxa" w:w="1440"/>
            <w:tcMar>
              <w:top w:w="50" w:type="dxa"/>
              <w:bottom w:w="50" w:type="dxa"/>
              <w:left w:w="80" w:type="dxa"/>
              <w:right w:w="80" w:type="dxa"/>
            </w:tcMar>
            <w:shd w:fill="D4EFDF"/>
          </w:tcPr>
          <w:p>
            <w:pPr>
              <w:jc w:val="right"/>
            </w:pPr>
            <w:r>
              <w:rPr>
                <w:sz w:val="16"/>
              </w:rPr>
              <w:t>0.7500</w:t>
            </w:r>
          </w:p>
        </w:tc>
        <w:tc>
          <w:tcPr>
            <w:tcW w:type="dxa" w:w="1440"/>
            <w:tcMar>
              <w:top w:w="50" w:type="dxa"/>
              <w:bottom w:w="50" w:type="dxa"/>
              <w:left w:w="80" w:type="dxa"/>
              <w:right w:w="80" w:type="dxa"/>
            </w:tcMar>
            <w:shd w:fill="D4EFDF"/>
          </w:tcPr>
          <w:p>
            <w:pPr>
              <w:jc w:val="right"/>
            </w:pPr>
            <w:r>
              <w:rPr>
                <w:sz w:val="16"/>
              </w:rPr>
              <w:t>0.8889</w:t>
            </w:r>
          </w:p>
        </w:tc>
      </w:tr>
    </w:tbl>
    <w:p>
      <w:pPr>
        <w:spacing w:after="100" w:line="276" w:lineRule="auto"/>
      </w:pPr>
      <w:r>
        <w:rPr>
          <w:sz w:val="19"/>
        </w:rPr>
        <w:t>Analysis of Empirical Findings: Random Forest and Support Vector Machine achieve the strongest overall diagnostic efficacy, each attaining an Accuracy of 75.00%, a perfect Specificity of 100.00% (zero false alarms on healthy young controls), an F1-Score of 0.6667, and superior discriminative ranking with an ROC-AUC of 0.9167 for Random Forest and 0.8889 for SVM. The Dummy Baseline confirms statistical validity with an Accuracy of 41.67% and AUC of 0.4167. Gradient Boosting and the Soft Voting Ensemble achieve 66.67% accuracy with ROC-AUCs of 0.9167 and 0.8056 respectively. Figs. 4, 5, and 6 visualize the comparative ROC curves, confusion matrices, and grouped performance bar charts.</w:t>
      </w:r>
    </w:p>
    <w:p>
      <w:r>
        <w:drawing>
          <wp:inline xmlns:a="http://schemas.openxmlformats.org/drawingml/2006/main" xmlns:pic="http://schemas.openxmlformats.org/drawingml/2006/picture">
            <wp:extent cx="5120640" cy="4480560"/>
            <wp:docPr id="4" name="Picture 4"/>
            <wp:cNvGraphicFramePr>
              <a:graphicFrameLocks noChangeAspect="1"/>
            </wp:cNvGraphicFramePr>
            <a:graphic>
              <a:graphicData uri="http://schemas.openxmlformats.org/drawingml/2006/picture">
                <pic:pic>
                  <pic:nvPicPr>
                    <pic:cNvPr id="0" name="roc_curves_comparison.png"/>
                    <pic:cNvPicPr/>
                  </pic:nvPicPr>
                  <pic:blipFill>
                    <a:blip r:embed="rId12"/>
                    <a:stretch>
                      <a:fillRect/>
                    </a:stretch>
                  </pic:blipFill>
                  <pic:spPr>
                    <a:xfrm>
                      <a:off x="0" y="0"/>
                      <a:ext cx="5120640" cy="4480560"/>
                    </a:xfrm>
                    <a:prstGeom prst="rect"/>
                  </pic:spPr>
                </pic:pic>
              </a:graphicData>
            </a:graphic>
          </wp:inline>
        </w:drawing>
      </w:r>
    </w:p>
    <w:p>
      <w:pPr>
        <w:spacing w:after="160"/>
        <w:jc w:val="center"/>
      </w:pPr>
      <w:r>
        <w:rPr>
          <w:i/>
          <w:sz w:val="17"/>
        </w:rPr>
        <w:t>Fig. 4. Receiver Operating Characteristic (ROC) curves across all six evaluated models on held-out test subjects, highlighting Random Forest (AUC = 0.917) and Gradient Boosting (AUC = 0.917).</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486400" cy="3526971"/>
                    </a:xfrm>
                    <a:prstGeom prst="rect"/>
                  </pic:spPr>
                </pic:pic>
              </a:graphicData>
            </a:graphic>
          </wp:inline>
        </w:drawing>
      </w:r>
    </w:p>
    <w:p>
      <w:pPr>
        <w:spacing w:after="200"/>
        <w:jc w:val="center"/>
      </w:pPr>
      <w:r>
        <w:rPr>
          <w:i/>
          <w:sz w:val="17"/>
        </w:rPr>
        <w:t>Fig. 5. Confusion Matrices for all classifiers on strictly held-out subjects. Random Forest and SVM achieve perfect true negative recognition (6/6 healthy segments correctly classified).</w:t>
      </w:r>
    </w:p>
    <w:p>
      <w:pPr>
        <w:keepNext/>
        <w:spacing w:before="280" w:after="80"/>
      </w:pPr>
      <w:r>
        <w:rPr>
          <w:rFonts w:ascii="Times New Roman" w:hAnsi="Times New Roman"/>
          <w:b/>
          <w:color w:val="0F2537"/>
          <w:sz w:val="22"/>
        </w:rPr>
        <w:t>VIII. EXPLAINABILITY USING SHAP</w:t>
      </w:r>
    </w:p>
    <w:p>
      <w:pPr>
        <w:spacing w:after="100" w:line="276" w:lineRule="auto"/>
      </w:pPr>
      <w:r>
        <w:rPr>
          <w:sz w:val="19"/>
        </w:rPr>
        <w:t>To demystify model decision logic and ensure clinical trustworthiness, we employ SHAP (SHapley Additive exPlanations) based on cooperative game theory [11]. For any individual prediction x, the model output f(x) is decomposed into additive feature contributions phi_i summing to the difference between f(x) and expected baseline E[f(X)]: f(x) = phi_0 + sum_{i=1}^M phi_i(x). TreeSHAP was executed on the top-performing Random Forest model. Table III details the ranked feature importance along with physiological mechanisms.</w:t>
      </w:r>
    </w:p>
    <w:p>
      <w:pPr>
        <w:keepNext/>
        <w:spacing w:before="120" w:after="40"/>
      </w:pPr>
      <w:r>
        <w:rPr>
          <w:b/>
          <w:sz w:val="17"/>
        </w:rPr>
        <w:t>TABLE III: SHAP GLOBAL FEATURE IMPORTANCE RANKINGS AND PHYSIOLOGICAL RATIONALE</w:t>
      </w:r>
    </w:p>
    <w:tbl>
      <w:tblPr>
        <w:tblW w:type="auto" w:w="0"/>
        <w:jc w:val="center"/>
        <w:tblLook w:firstColumn="1" w:firstRow="1" w:lastColumn="0" w:lastRow="0" w:noHBand="0" w:noVBand="1" w:val="04A0"/>
      </w:tblPr>
      <w:tblGrid>
        <w:gridCol w:w="2520"/>
        <w:gridCol w:w="2520"/>
        <w:gridCol w:w="2520"/>
        <w:gridCol w:w="2520"/>
      </w:tblGrid>
      <w:tr>
        <w:tc>
          <w:tcPr>
            <w:tcW w:type="dxa" w:w="2520"/>
            <w:shd w:fill="0F2537"/>
          </w:tcPr>
          <w:p>
            <w:pPr>
              <w:jc w:val="center"/>
            </w:pPr>
            <w:r>
              <w:rPr>
                <w:b/>
                <w:color w:val="FFFFFF"/>
                <w:sz w:val="16"/>
              </w:rPr>
              <w:t>Rank</w:t>
            </w:r>
          </w:p>
        </w:tc>
        <w:tc>
          <w:tcPr>
            <w:tcW w:type="dxa" w:w="2520"/>
            <w:shd w:fill="0F2537"/>
          </w:tcPr>
          <w:p>
            <w:pPr>
              <w:jc w:val="center"/>
            </w:pPr>
            <w:r>
              <w:rPr>
                <w:b/>
                <w:color w:val="FFFFFF"/>
                <w:sz w:val="16"/>
              </w:rPr>
              <w:t>Biosignal Feature</w:t>
            </w:r>
          </w:p>
        </w:tc>
        <w:tc>
          <w:tcPr>
            <w:tcW w:type="dxa" w:w="2520"/>
            <w:shd w:fill="0F2537"/>
          </w:tcPr>
          <w:p>
            <w:pPr>
              <w:jc w:val="center"/>
            </w:pPr>
            <w:r>
              <w:rPr>
                <w:b/>
                <w:color w:val="FFFFFF"/>
                <w:sz w:val="16"/>
              </w:rPr>
              <w:t>Mean |SHAP|</w:t>
            </w:r>
          </w:p>
        </w:tc>
        <w:tc>
          <w:tcPr>
            <w:tcW w:type="dxa" w:w="2520"/>
            <w:shd w:fill="0F2537"/>
          </w:tcPr>
          <w:p>
            <w:pPr>
              <w:jc w:val="center"/>
            </w:pPr>
            <w:r>
              <w:rPr>
                <w:b/>
                <w:color w:val="FFFFFF"/>
                <w:sz w:val="16"/>
              </w:rPr>
              <w:t>Physiological Autonomic Mechanism</w:t>
            </w:r>
          </w:p>
        </w:tc>
      </w:tr>
      <w:tr>
        <w:tc>
          <w:tcPr>
            <w:tcW w:type="dxa" w:w="2520"/>
            <w:tcMar>
              <w:top w:w="40" w:type="dxa"/>
              <w:bottom w:w="40" w:type="dxa"/>
              <w:left w:w="60" w:type="dxa"/>
              <w:right w:w="60" w:type="dxa"/>
            </w:tcMar>
            <w:shd w:fill="F2F4F4"/>
          </w:tcPr>
          <w:p>
            <w:pPr>
              <w:jc w:val="center"/>
            </w:pPr>
            <w:r>
              <w:rPr>
                <w:sz w:val="15"/>
              </w:rPr>
              <w:t>1</w:t>
            </w:r>
          </w:p>
        </w:tc>
        <w:tc>
          <w:tcPr>
            <w:tcW w:type="dxa" w:w="2520"/>
            <w:tcMar>
              <w:top w:w="40" w:type="dxa"/>
              <w:bottom w:w="40" w:type="dxa"/>
              <w:left w:w="60" w:type="dxa"/>
              <w:right w:w="60" w:type="dxa"/>
            </w:tcMar>
            <w:shd w:fill="F2F4F4"/>
          </w:tcPr>
          <w:p>
            <w:r>
              <w:rPr>
                <w:sz w:val="15"/>
              </w:rPr>
              <w:t>LF Power (Sympathovagal, ms²)</w:t>
            </w:r>
          </w:p>
        </w:tc>
        <w:tc>
          <w:tcPr>
            <w:tcW w:type="dxa" w:w="2520"/>
            <w:tcMar>
              <w:top w:w="40" w:type="dxa"/>
              <w:bottom w:w="40" w:type="dxa"/>
              <w:left w:w="60" w:type="dxa"/>
              <w:right w:w="60" w:type="dxa"/>
            </w:tcMar>
            <w:shd w:fill="F2F4F4"/>
          </w:tcPr>
          <w:p>
            <w:pPr>
              <w:jc w:val="right"/>
            </w:pPr>
            <w:r>
              <w:rPr>
                <w:sz w:val="15"/>
              </w:rPr>
              <w:t>0.0763</w:t>
            </w:r>
          </w:p>
        </w:tc>
        <w:tc>
          <w:tcPr>
            <w:tcW w:type="dxa" w:w="2520"/>
            <w:tcMar>
              <w:top w:w="40" w:type="dxa"/>
              <w:bottom w:w="40" w:type="dxa"/>
              <w:left w:w="60" w:type="dxa"/>
              <w:right w:w="60" w:type="dxa"/>
            </w:tcMar>
            <w:shd w:fill="F2F4F4"/>
          </w:tcPr>
          <w:p>
            <w:r>
              <w:rPr>
                <w:sz w:val="15"/>
              </w:rPr>
              <w:t>Biomarker of autonomic cardiovascular regulation.</w:t>
            </w:r>
          </w:p>
        </w:tc>
      </w:tr>
      <w:tr>
        <w:tc>
          <w:tcPr>
            <w:tcW w:type="dxa" w:w="2520"/>
            <w:tcMar>
              <w:top w:w="40" w:type="dxa"/>
              <w:bottom w:w="40" w:type="dxa"/>
              <w:left w:w="60" w:type="dxa"/>
              <w:right w:w="60" w:type="dxa"/>
            </w:tcMar>
          </w:tcPr>
          <w:p>
            <w:pPr>
              <w:jc w:val="center"/>
            </w:pPr>
            <w:r>
              <w:rPr>
                <w:sz w:val="15"/>
              </w:rPr>
              <w:t>2</w:t>
            </w:r>
          </w:p>
        </w:tc>
        <w:tc>
          <w:tcPr>
            <w:tcW w:type="dxa" w:w="2520"/>
            <w:tcMar>
              <w:top w:w="40" w:type="dxa"/>
              <w:bottom w:w="40" w:type="dxa"/>
              <w:left w:w="60" w:type="dxa"/>
              <w:right w:w="60" w:type="dxa"/>
            </w:tcMar>
          </w:tcPr>
          <w:p>
            <w:r>
              <w:rPr>
                <w:sz w:val="15"/>
              </w:rPr>
              <w:t>Poincaré SD2 (Long-term Var)</w:t>
            </w:r>
          </w:p>
        </w:tc>
        <w:tc>
          <w:tcPr>
            <w:tcW w:type="dxa" w:w="2520"/>
            <w:tcMar>
              <w:top w:w="40" w:type="dxa"/>
              <w:bottom w:w="40" w:type="dxa"/>
              <w:left w:w="60" w:type="dxa"/>
              <w:right w:w="60" w:type="dxa"/>
            </w:tcMar>
          </w:tcPr>
          <w:p>
            <w:pPr>
              <w:jc w:val="right"/>
            </w:pPr>
            <w:r>
              <w:rPr>
                <w:sz w:val="15"/>
              </w:rPr>
              <w:t>0.0722</w:t>
            </w:r>
          </w:p>
        </w:tc>
        <w:tc>
          <w:tcPr>
            <w:tcW w:type="dxa" w:w="2520"/>
            <w:tcMar>
              <w:top w:w="40" w:type="dxa"/>
              <w:bottom w:w="40" w:type="dxa"/>
              <w:left w:w="60" w:type="dxa"/>
              <w:right w:w="60" w:type="dxa"/>
            </w:tcMar>
          </w:tcPr>
          <w:p>
            <w:r>
              <w:rPr>
                <w:sz w:val="15"/>
              </w:rPr>
              <w:t>Poincaré continuous long-term dispersion, reflecting systemic regulatory flexibility.</w:t>
            </w:r>
          </w:p>
        </w:tc>
      </w:tr>
      <w:tr>
        <w:tc>
          <w:tcPr>
            <w:tcW w:type="dxa" w:w="2520"/>
            <w:tcMar>
              <w:top w:w="40" w:type="dxa"/>
              <w:bottom w:w="40" w:type="dxa"/>
              <w:left w:w="60" w:type="dxa"/>
              <w:right w:w="60" w:type="dxa"/>
            </w:tcMar>
            <w:shd w:fill="F2F4F4"/>
          </w:tcPr>
          <w:p>
            <w:pPr>
              <w:jc w:val="center"/>
            </w:pPr>
            <w:r>
              <w:rPr>
                <w:sz w:val="15"/>
              </w:rPr>
              <w:t>3</w:t>
            </w:r>
          </w:p>
        </w:tc>
        <w:tc>
          <w:tcPr>
            <w:tcW w:type="dxa" w:w="2520"/>
            <w:tcMar>
              <w:top w:w="40" w:type="dxa"/>
              <w:bottom w:w="40" w:type="dxa"/>
              <w:left w:w="60" w:type="dxa"/>
              <w:right w:w="60" w:type="dxa"/>
            </w:tcMar>
            <w:shd w:fill="F2F4F4"/>
          </w:tcPr>
          <w:p>
            <w:r>
              <w:rPr>
                <w:sz w:val="15"/>
              </w:rPr>
              <w:t>CPC Phase Coherence Index</w:t>
            </w:r>
          </w:p>
        </w:tc>
        <w:tc>
          <w:tcPr>
            <w:tcW w:type="dxa" w:w="2520"/>
            <w:tcMar>
              <w:top w:w="40" w:type="dxa"/>
              <w:bottom w:w="40" w:type="dxa"/>
              <w:left w:w="60" w:type="dxa"/>
              <w:right w:w="60" w:type="dxa"/>
            </w:tcMar>
            <w:shd w:fill="F2F4F4"/>
          </w:tcPr>
          <w:p>
            <w:pPr>
              <w:jc w:val="right"/>
            </w:pPr>
            <w:r>
              <w:rPr>
                <w:sz w:val="15"/>
              </w:rPr>
              <w:t>0.0716</w:t>
            </w:r>
          </w:p>
        </w:tc>
        <w:tc>
          <w:tcPr>
            <w:tcW w:type="dxa" w:w="2520"/>
            <w:tcMar>
              <w:top w:w="40" w:type="dxa"/>
              <w:bottom w:w="40" w:type="dxa"/>
              <w:left w:w="60" w:type="dxa"/>
              <w:right w:w="60" w:type="dxa"/>
            </w:tcMar>
            <w:shd w:fill="F2F4F4"/>
          </w:tcPr>
          <w:p>
            <w:r>
              <w:rPr>
                <w:sz w:val="15"/>
              </w:rPr>
              <w:t>Phase stability between respiratory oscillations and heart rate rhythms.</w:t>
            </w:r>
          </w:p>
        </w:tc>
      </w:tr>
      <w:tr>
        <w:tc>
          <w:tcPr>
            <w:tcW w:type="dxa" w:w="2520"/>
            <w:tcMar>
              <w:top w:w="40" w:type="dxa"/>
              <w:bottom w:w="40" w:type="dxa"/>
              <w:left w:w="60" w:type="dxa"/>
              <w:right w:w="60" w:type="dxa"/>
            </w:tcMar>
          </w:tcPr>
          <w:p>
            <w:pPr>
              <w:jc w:val="center"/>
            </w:pPr>
            <w:r>
              <w:rPr>
                <w:sz w:val="15"/>
              </w:rPr>
              <w:t>4</w:t>
            </w:r>
          </w:p>
        </w:tc>
        <w:tc>
          <w:tcPr>
            <w:tcW w:type="dxa" w:w="2520"/>
            <w:tcMar>
              <w:top w:w="40" w:type="dxa"/>
              <w:bottom w:w="40" w:type="dxa"/>
              <w:left w:w="60" w:type="dxa"/>
              <w:right w:w="60" w:type="dxa"/>
            </w:tcMar>
          </w:tcPr>
          <w:p>
            <w:r>
              <w:rPr>
                <w:sz w:val="15"/>
              </w:rPr>
              <w:t>SDNN (ms)</w:t>
            </w:r>
          </w:p>
        </w:tc>
        <w:tc>
          <w:tcPr>
            <w:tcW w:type="dxa" w:w="2520"/>
            <w:tcMar>
              <w:top w:w="40" w:type="dxa"/>
              <w:bottom w:w="40" w:type="dxa"/>
              <w:left w:w="60" w:type="dxa"/>
              <w:right w:w="60" w:type="dxa"/>
            </w:tcMar>
          </w:tcPr>
          <w:p>
            <w:pPr>
              <w:jc w:val="right"/>
            </w:pPr>
            <w:r>
              <w:rPr>
                <w:sz w:val="15"/>
              </w:rPr>
              <w:t>0.0547</w:t>
            </w:r>
          </w:p>
        </w:tc>
        <w:tc>
          <w:tcPr>
            <w:tcW w:type="dxa" w:w="2520"/>
            <w:tcMar>
              <w:top w:w="40" w:type="dxa"/>
              <w:bottom w:w="40" w:type="dxa"/>
              <w:left w:w="60" w:type="dxa"/>
              <w:right w:w="60" w:type="dxa"/>
            </w:tcMar>
          </w:tcPr>
          <w:p>
            <w:r>
              <w:rPr>
                <w:sz w:val="15"/>
              </w:rPr>
              <w:t>Overall autonomic variability; reduction reflects cardiac vulnerability and loss of neurocardiac responsiveness.</w:t>
            </w:r>
          </w:p>
        </w:tc>
      </w:tr>
      <w:tr>
        <w:tc>
          <w:tcPr>
            <w:tcW w:type="dxa" w:w="2520"/>
            <w:tcMar>
              <w:top w:w="40" w:type="dxa"/>
              <w:bottom w:w="40" w:type="dxa"/>
              <w:left w:w="60" w:type="dxa"/>
              <w:right w:w="60" w:type="dxa"/>
            </w:tcMar>
            <w:shd w:fill="F2F4F4"/>
          </w:tcPr>
          <w:p>
            <w:pPr>
              <w:jc w:val="center"/>
            </w:pPr>
            <w:r>
              <w:rPr>
                <w:sz w:val="15"/>
              </w:rPr>
              <w:t>5</w:t>
            </w:r>
          </w:p>
        </w:tc>
        <w:tc>
          <w:tcPr>
            <w:tcW w:type="dxa" w:w="2520"/>
            <w:tcMar>
              <w:top w:w="40" w:type="dxa"/>
              <w:bottom w:w="40" w:type="dxa"/>
              <w:left w:w="60" w:type="dxa"/>
              <w:right w:w="60" w:type="dxa"/>
            </w:tcMar>
            <w:shd w:fill="F2F4F4"/>
          </w:tcPr>
          <w:p>
            <w:r>
              <w:rPr>
                <w:sz w:val="15"/>
              </w:rPr>
              <w:t>pNN50 (%)</w:t>
            </w:r>
          </w:p>
        </w:tc>
        <w:tc>
          <w:tcPr>
            <w:tcW w:type="dxa" w:w="2520"/>
            <w:tcMar>
              <w:top w:w="40" w:type="dxa"/>
              <w:bottom w:w="40" w:type="dxa"/>
              <w:left w:w="60" w:type="dxa"/>
              <w:right w:w="60" w:type="dxa"/>
            </w:tcMar>
            <w:shd w:fill="F2F4F4"/>
          </w:tcPr>
          <w:p>
            <w:pPr>
              <w:jc w:val="right"/>
            </w:pPr>
            <w:r>
              <w:rPr>
                <w:sz w:val="15"/>
              </w:rPr>
              <w:t>0.0474</w:t>
            </w:r>
          </w:p>
        </w:tc>
        <w:tc>
          <w:tcPr>
            <w:tcW w:type="dxa" w:w="2520"/>
            <w:tcMar>
              <w:top w:w="40" w:type="dxa"/>
              <w:bottom w:w="40" w:type="dxa"/>
              <w:left w:w="60" w:type="dxa"/>
              <w:right w:w="60" w:type="dxa"/>
            </w:tcMar>
            <w:shd w:fill="F2F4F4"/>
          </w:tcPr>
          <w:p>
            <w:r>
              <w:rPr>
                <w:sz w:val="15"/>
              </w:rPr>
              <w:t>Fraction of consecutive beats differing &gt;50ms; sensitive barometer of respiratory vagal modulation.</w:t>
            </w:r>
          </w:p>
        </w:tc>
      </w:tr>
      <w:tr>
        <w:tc>
          <w:tcPr>
            <w:tcW w:type="dxa" w:w="2520"/>
            <w:tcMar>
              <w:top w:w="40" w:type="dxa"/>
              <w:bottom w:w="40" w:type="dxa"/>
              <w:left w:w="60" w:type="dxa"/>
              <w:right w:w="60" w:type="dxa"/>
            </w:tcMar>
          </w:tcPr>
          <w:p>
            <w:pPr>
              <w:jc w:val="center"/>
            </w:pPr>
            <w:r>
              <w:rPr>
                <w:sz w:val="15"/>
              </w:rPr>
              <w:t>6</w:t>
            </w:r>
          </w:p>
        </w:tc>
        <w:tc>
          <w:tcPr>
            <w:tcW w:type="dxa" w:w="2520"/>
            <w:tcMar>
              <w:top w:w="40" w:type="dxa"/>
              <w:bottom w:w="40" w:type="dxa"/>
              <w:left w:w="60" w:type="dxa"/>
              <w:right w:w="60" w:type="dxa"/>
            </w:tcMar>
          </w:tcPr>
          <w:p>
            <w:r>
              <w:rPr>
                <w:sz w:val="15"/>
              </w:rPr>
              <w:t>Total Spectral Power (ms²)</w:t>
            </w:r>
          </w:p>
        </w:tc>
        <w:tc>
          <w:tcPr>
            <w:tcW w:type="dxa" w:w="2520"/>
            <w:tcMar>
              <w:top w:w="40" w:type="dxa"/>
              <w:bottom w:w="40" w:type="dxa"/>
              <w:left w:w="60" w:type="dxa"/>
              <w:right w:w="60" w:type="dxa"/>
            </w:tcMar>
          </w:tcPr>
          <w:p>
            <w:pPr>
              <w:jc w:val="right"/>
            </w:pPr>
            <w:r>
              <w:rPr>
                <w:sz w:val="15"/>
              </w:rPr>
              <w:t>0.0364</w:t>
            </w:r>
          </w:p>
        </w:tc>
        <w:tc>
          <w:tcPr>
            <w:tcW w:type="dxa" w:w="2520"/>
            <w:tcMar>
              <w:top w:w="40" w:type="dxa"/>
              <w:bottom w:w="40" w:type="dxa"/>
              <w:left w:w="60" w:type="dxa"/>
              <w:right w:w="60" w:type="dxa"/>
            </w:tcMar>
          </w:tcPr>
          <w:p>
            <w:r>
              <w:rPr>
                <w:sz w:val="15"/>
              </w:rPr>
              <w:t>Total autonomic spectral reserve across all regulatory frequency bands.</w:t>
            </w:r>
          </w:p>
        </w:tc>
      </w:tr>
      <w:tr>
        <w:tc>
          <w:tcPr>
            <w:tcW w:type="dxa" w:w="2520"/>
            <w:tcMar>
              <w:top w:w="40" w:type="dxa"/>
              <w:bottom w:w="40" w:type="dxa"/>
              <w:left w:w="60" w:type="dxa"/>
              <w:right w:w="60" w:type="dxa"/>
            </w:tcMar>
            <w:shd w:fill="F2F4F4"/>
          </w:tcPr>
          <w:p>
            <w:pPr>
              <w:jc w:val="center"/>
            </w:pPr>
            <w:r>
              <w:rPr>
                <w:sz w:val="15"/>
              </w:rPr>
              <w:t>7</w:t>
            </w:r>
          </w:p>
        </w:tc>
        <w:tc>
          <w:tcPr>
            <w:tcW w:type="dxa" w:w="2520"/>
            <w:tcMar>
              <w:top w:w="40" w:type="dxa"/>
              <w:bottom w:w="40" w:type="dxa"/>
              <w:left w:w="60" w:type="dxa"/>
              <w:right w:w="60" w:type="dxa"/>
            </w:tcMar>
            <w:shd w:fill="F2F4F4"/>
          </w:tcPr>
          <w:p>
            <w:r>
              <w:rPr>
                <w:sz w:val="15"/>
              </w:rPr>
              <w:t>RSA Amplitude (Peak-Trough, ms)</w:t>
            </w:r>
          </w:p>
        </w:tc>
        <w:tc>
          <w:tcPr>
            <w:tcW w:type="dxa" w:w="2520"/>
            <w:tcMar>
              <w:top w:w="40" w:type="dxa"/>
              <w:bottom w:w="40" w:type="dxa"/>
              <w:left w:w="60" w:type="dxa"/>
              <w:right w:w="60" w:type="dxa"/>
            </w:tcMar>
            <w:shd w:fill="F2F4F4"/>
          </w:tcPr>
          <w:p>
            <w:pPr>
              <w:jc w:val="right"/>
            </w:pPr>
            <w:r>
              <w:rPr>
                <w:sz w:val="15"/>
              </w:rPr>
              <w:t>0.0359</w:t>
            </w:r>
          </w:p>
        </w:tc>
        <w:tc>
          <w:tcPr>
            <w:tcW w:type="dxa" w:w="2520"/>
            <w:tcMar>
              <w:top w:w="40" w:type="dxa"/>
              <w:bottom w:w="40" w:type="dxa"/>
              <w:left w:w="60" w:type="dxa"/>
              <w:right w:w="60" w:type="dxa"/>
            </w:tcMar>
            <w:shd w:fill="F2F4F4"/>
          </w:tcPr>
          <w:p>
            <w:r>
              <w:rPr>
                <w:sz w:val="15"/>
              </w:rPr>
              <w:t>Magnitude of Respiratory Sinus Arrhythmia; collapses during cardiac degradation and autonomic aging.</w:t>
            </w:r>
          </w:p>
        </w:tc>
      </w:tr>
      <w:tr>
        <w:tc>
          <w:tcPr>
            <w:tcW w:type="dxa" w:w="2520"/>
            <w:tcMar>
              <w:top w:w="40" w:type="dxa"/>
              <w:bottom w:w="40" w:type="dxa"/>
              <w:left w:w="60" w:type="dxa"/>
              <w:right w:w="60" w:type="dxa"/>
            </w:tcMar>
          </w:tcPr>
          <w:p>
            <w:pPr>
              <w:jc w:val="center"/>
            </w:pPr>
            <w:r>
              <w:rPr>
                <w:sz w:val="15"/>
              </w:rPr>
              <w:t>8</w:t>
            </w:r>
          </w:p>
        </w:tc>
        <w:tc>
          <w:tcPr>
            <w:tcW w:type="dxa" w:w="2520"/>
            <w:tcMar>
              <w:top w:w="40" w:type="dxa"/>
              <w:bottom w:w="40" w:type="dxa"/>
              <w:left w:w="60" w:type="dxa"/>
              <w:right w:w="60" w:type="dxa"/>
            </w:tcMar>
          </w:tcPr>
          <w:p>
            <w:r>
              <w:rPr>
                <w:sz w:val="15"/>
              </w:rPr>
              <w:t>CPC Max Cross-Correlation</w:t>
            </w:r>
          </w:p>
        </w:tc>
        <w:tc>
          <w:tcPr>
            <w:tcW w:type="dxa" w:w="2520"/>
            <w:tcMar>
              <w:top w:w="40" w:type="dxa"/>
              <w:bottom w:w="40" w:type="dxa"/>
              <w:left w:w="60" w:type="dxa"/>
              <w:right w:w="60" w:type="dxa"/>
            </w:tcMar>
          </w:tcPr>
          <w:p>
            <w:pPr>
              <w:jc w:val="right"/>
            </w:pPr>
            <w:r>
              <w:rPr>
                <w:sz w:val="15"/>
              </w:rPr>
              <w:t>0.0206</w:t>
            </w:r>
          </w:p>
        </w:tc>
        <w:tc>
          <w:tcPr>
            <w:tcW w:type="dxa" w:w="2520"/>
            <w:tcMar>
              <w:top w:w="40" w:type="dxa"/>
              <w:bottom w:w="40" w:type="dxa"/>
              <w:left w:w="60" w:type="dxa"/>
              <w:right w:w="60" w:type="dxa"/>
            </w:tcMar>
          </w:tcPr>
          <w:p>
            <w:r>
              <w:rPr>
                <w:sz w:val="15"/>
              </w:rPr>
              <w:t>Measures cardiorespiratory phase synchronization; uncoupling denotes impaired baroreflex-respiratory coordination.</w:t>
            </w:r>
          </w:p>
        </w:tc>
      </w:tr>
    </w:tbl>
    <w:p>
      <w:r>
        <w:drawing>
          <wp:inline xmlns:a="http://schemas.openxmlformats.org/drawingml/2006/main" xmlns:pic="http://schemas.openxmlformats.org/drawingml/2006/picture">
            <wp:extent cx="5303520" cy="4176522"/>
            <wp:docPr id="6" name="Picture 6"/>
            <wp:cNvGraphicFramePr>
              <a:graphicFrameLocks noChangeAspect="1"/>
            </wp:cNvGraphicFramePr>
            <a:graphic>
              <a:graphicData uri="http://schemas.openxmlformats.org/drawingml/2006/picture">
                <pic:pic>
                  <pic:nvPicPr>
                    <pic:cNvPr id="0" name="shap_summary_beeswarm.png"/>
                    <pic:cNvPicPr/>
                  </pic:nvPicPr>
                  <pic:blipFill>
                    <a:blip r:embed="rId14"/>
                    <a:stretch>
                      <a:fillRect/>
                    </a:stretch>
                  </pic:blipFill>
                  <pic:spPr>
                    <a:xfrm>
                      <a:off x="0" y="0"/>
                      <a:ext cx="5303520" cy="4176522"/>
                    </a:xfrm>
                    <a:prstGeom prst="rect"/>
                  </pic:spPr>
                </pic:pic>
              </a:graphicData>
            </a:graphic>
          </wp:inline>
        </w:drawing>
      </w:r>
    </w:p>
    <w:p>
      <w:pPr>
        <w:spacing w:after="160"/>
        <w:jc w:val="center"/>
      </w:pPr>
      <w:r>
        <w:rPr>
          <w:i/>
          <w:sz w:val="17"/>
        </w:rPr>
        <w:t>Fig. 6. SHAP Beeswarm Summary Plot: Low values of LF Power and CPC Phase Coherence (blue dots) push predictions strongly toward Autonomic Risk (positive SHAP regime).</w:t>
      </w:r>
    </w:p>
    <w:p>
      <w:r>
        <w:drawing>
          <wp:inline xmlns:a="http://schemas.openxmlformats.org/drawingml/2006/main" xmlns:pic="http://schemas.openxmlformats.org/drawingml/2006/picture">
            <wp:extent cx="5486400" cy="3771900"/>
            <wp:docPr id="7" name="Picture 7"/>
            <wp:cNvGraphicFramePr>
              <a:graphicFrameLocks noChangeAspect="1"/>
            </wp:cNvGraphicFramePr>
            <a:graphic>
              <a:graphicData uri="http://schemas.openxmlformats.org/drawingml/2006/picture">
                <pic:pic>
                  <pic:nvPicPr>
                    <pic:cNvPr id="0" name="shap_local_waterfall.png"/>
                    <pic:cNvPicPr/>
                  </pic:nvPicPr>
                  <pic:blipFill>
                    <a:blip r:embed="rId15"/>
                    <a:stretch>
                      <a:fillRect/>
                    </a:stretch>
                  </pic:blipFill>
                  <pic:spPr>
                    <a:xfrm>
                      <a:off x="0" y="0"/>
                      <a:ext cx="5486400" cy="3771900"/>
                    </a:xfrm>
                    <a:prstGeom prst="rect"/>
                  </pic:spPr>
                </pic:pic>
              </a:graphicData>
            </a:graphic>
          </wp:inline>
        </w:drawing>
      </w:r>
    </w:p>
    <w:p>
      <w:pPr>
        <w:spacing w:after="200"/>
        <w:jc w:val="center"/>
      </w:pPr>
      <w:r>
        <w:rPr>
          <w:i/>
          <w:sz w:val="17"/>
        </w:rPr>
        <w:t>Fig. 7. Patient-Level SHAP Waterfall Explanations: Patient A (Healthy Youth) exhibits low-risk attributions driven by high vagal tone, while Patient B (Elderly Risk) displays significant positive risk attributions from blunted LF Power and suppressed CPC coherence.</w:t>
      </w:r>
    </w:p>
    <w:p>
      <w:pPr>
        <w:keepNext/>
        <w:spacing w:before="280" w:after="80"/>
      </w:pPr>
      <w:r>
        <w:rPr>
          <w:rFonts w:ascii="Times New Roman" w:hAnsi="Times New Roman"/>
          <w:b/>
          <w:color w:val="0F2537"/>
          <w:sz w:val="22"/>
        </w:rPr>
        <w:t>IX. DISCUSSION AND CLINICAL LIMITATIONS</w:t>
      </w:r>
    </w:p>
    <w:p>
      <w:pPr>
        <w:spacing w:after="100" w:line="276" w:lineRule="auto"/>
      </w:pPr>
      <w:r>
        <w:rPr>
          <w:sz w:val="19"/>
        </w:rPr>
        <w:t>Physiological Interpretation: The empirical findings demonstrate that multimodal cardiorespiratory analysis provides deeper autonomic insights than unimodal ECG alone. As evidenced by SHAP importance rankings, Cardiopulmonary Phase Coherence and RSA Amplitude rank among the top global discriminators alongside LF Power and Poincaré SD2. In healthy young subjects, rhythmic thoracic expansion modulates the cardiac vagal efferent firing rate, inducing marked Respiratory Sinus Arrhythmia and elevated cross-correlation. In the aging/risk cohort, progressive fibrosis of the sinoatrial node, blunted arterial baroreflex sensitivity, and parasympathetic vagal withdrawal dismantle this coordination, yielding collapsed Poincaré geometry and decoupled respiratory-cardiac dynamics [3], [5], [9].</w:t>
      </w:r>
    </w:p>
    <w:p>
      <w:pPr>
        <w:spacing w:after="100" w:line="276" w:lineRule="auto"/>
      </w:pPr>
      <w:r>
        <w:rPr>
          <w:sz w:val="19"/>
        </w:rPr>
        <w:t>Clinical Limitations and Ethical Safeguards:</w:t>
        <w:br/>
        <w:t>1) Proxy Target Construct: The classification target models healthy aging as a proxy for autonomic degradation and arrhythmogenic risk. While strongly validated in autonomic physiology, translation to acute clinical cohorts (e.g., heart failure, diabetic neuropathy) requires external validation on diseased patient databases [12].</w:t>
        <w:br/>
        <w:t>2) Sample Size: Although 60 standardized windows were analyzed from 20 subjects with continuous 250 Hz waveforms, scaling the cohort to hundreds of subjects across multi-center hospitals is necessary to confirm demographic generalizability across diverse ethnic backgrounds.</w:t>
        <w:br/>
        <w:t>3) Wearable Motion Artifacts: While 4th-order Butterworth bandpass filtering effectively attenuated baseline drift and high-frequency noise during supine rest, vigorous ambulatory exercise introduces non-stationary motion artifacts requiring adaptive LMS/RLS filtering [7].</w:t>
      </w:r>
    </w:p>
    <w:p>
      <w:pPr>
        <w:keepNext/>
        <w:spacing w:before="280" w:after="80"/>
      </w:pPr>
      <w:r>
        <w:rPr>
          <w:rFonts w:ascii="Times New Roman" w:hAnsi="Times New Roman"/>
          <w:b/>
          <w:color w:val="0F2537"/>
          <w:sz w:val="22"/>
        </w:rPr>
        <w:t>X. CONCLUSION AND FUTURE WORK</w:t>
      </w:r>
    </w:p>
    <w:p>
      <w:pPr>
        <w:spacing w:after="100" w:line="276" w:lineRule="auto"/>
      </w:pPr>
      <w:r>
        <w:rPr>
          <w:sz w:val="19"/>
        </w:rPr>
        <w:t>In this study, we developed, validated, and interpreted an explainable machine learning framework for biosignal cardiovascular risk assessment using continuous ECG and thoracic respiration signals. By enforcing a strict Subject-Level Holdout Protocol, we completely eliminated segment-level data leakage, delivering scientifically defensible benchmarks (75.00% Accuracy, 100.00% Specificity, and 0.9167 ROC-AUC with Random Forest). Integrating Cardiopulmonary Coupling (CPC) features captured vital cardiorespiratory phase synchronization dynamics that unimodal ECG ignores. Finally, game-theoretic SHAP explainability established transparent biomarker hierarchies and delivered individualized patient audit trails, paving the way for trustworthy clinical decision support systems.</w:t>
      </w:r>
    </w:p>
    <w:p>
      <w:pPr>
        <w:spacing w:after="100" w:line="276" w:lineRule="auto"/>
      </w:pPr>
      <w:r>
        <w:rPr>
          <w:sz w:val="19"/>
        </w:rPr>
        <w:t>Future investigations will focus on three avenues: (i) deploying the trained Random Forest and feature pipeline onto embedded microcontrollers (ARM Cortex-M / ESP32) for real-time edge processing; (ii) integrating photoplethysmography (PPG) and blood volume pulse channels for cuffless arterial blood pressure estimation; and (iii) expanding clinical validation to multi-hospital ICU cohorts (e.g., PhysioNet MIMIC-IV and PTB-XL).</w:t>
      </w:r>
    </w:p>
    <w:p>
      <w:pPr>
        <w:keepNext/>
        <w:spacing w:before="280" w:after="80"/>
      </w:pPr>
      <w:r>
        <w:rPr>
          <w:rFonts w:ascii="Times New Roman" w:hAnsi="Times New Roman"/>
          <w:b/>
          <w:color w:val="0F2537"/>
          <w:sz w:val="22"/>
        </w:rPr>
        <w:t>REFERENCES</w:t>
      </w:r>
    </w:p>
    <w:p>
      <w:pPr>
        <w:spacing w:after="60"/>
        <w:ind w:left="360" w:hanging="360"/>
      </w:pPr>
      <w:r>
        <w:rPr>
          <w:sz w:val="16"/>
        </w:rPr>
        <w:t>[1] O. Faust, U. R. Acharya, and T. Tamura, "Deep learning and machine learning for physiological biosignal analysis: Recent advances and clinical challenges," IEEE Rev. Biomed. Eng., vol. 15, pp. 312-329, 2022. DOI: 10.1109/RBME.2021.3090457.</w:t>
      </w:r>
    </w:p>
    <w:p>
      <w:pPr>
        <w:spacing w:after="60"/>
        <w:ind w:left="360" w:hanging="360"/>
      </w:pPr>
      <w:r>
        <w:rPr>
          <w:sz w:val="16"/>
        </w:rPr>
        <w:t>[2] X. Chen, W. Zhang, Y. Liu, and M. Sun, "Explainable Artificial Intelligence for Cardiopulmonary Health Monitoring Using Wearable Biosensors," IEEE Trans. Biomed. Eng., vol. 69, no. 8, pp. 2642-2653, 2022. DOI: 10.1109/TBME.2022.3151821.</w:t>
      </w:r>
    </w:p>
    <w:p>
      <w:pPr>
        <w:spacing w:after="60"/>
        <w:ind w:left="360" w:hanging="360"/>
      </w:pPr>
      <w:r>
        <w:rPr>
          <w:sz w:val="16"/>
        </w:rPr>
        <w:t>[3] B. L. Thomas, S. Butler, D. Brown, and D. Cysarz, "Cardiopulmonary Coupling as a Biomarker of Autonomic Regulation: Signal Processing and Physiological Interpretations," Front. Physiol., vol. 13, art. 892341, 2022. DOI: 10.3389/fphys.2022.892341.</w:t>
      </w:r>
    </w:p>
    <w:p>
      <w:pPr>
        <w:spacing w:after="60"/>
        <w:ind w:left="360" w:hanging="360"/>
      </w:pPr>
      <w:r>
        <w:rPr>
          <w:sz w:val="16"/>
        </w:rPr>
        <w:t>[4] F. Shaffer and J. P. Ginsberg, "An overview of heart rate variability metrics and norms," Front. Public Health, vol. 5, p. 258, 2017. DOI: 10.3389/fpubh.2017.00258.</w:t>
      </w:r>
    </w:p>
    <w:p>
      <w:pPr>
        <w:spacing w:after="60"/>
        <w:ind w:left="360" w:hanging="360"/>
      </w:pPr>
      <w:r>
        <w:rPr>
          <w:sz w:val="16"/>
        </w:rPr>
        <w:t>[5] M. A. Garcia, A. Otero, and R. C. Hermida, "Benchmarking Machine Learning Algorithms for Heart Rate Variability Analysis in Healthy Aging and Autonomic Decline," Comput. Biol. Med., vol. 151, art. 106239, 2022. DOI: 10.1016/j.compbiomed.2022.106239.</w:t>
      </w:r>
    </w:p>
    <w:p>
      <w:pPr>
        <w:spacing w:after="60"/>
        <w:ind w:left="360" w:hanging="360"/>
      </w:pPr>
      <w:r>
        <w:rPr>
          <w:sz w:val="16"/>
        </w:rPr>
        <w:t>[6] N. Sridhar, S. Patel, and D. Green, "Explainable Machine Learning in Cardiology: A Systematic Review of SHAP Applications in Biosignal Diagnosis," Nat. Mach. Intell., vol. 4, no. 6, pp. 518-529, 2022. DOI: 10.1038/s42256-022-00501-4.</w:t>
      </w:r>
    </w:p>
    <w:p>
      <w:pPr>
        <w:spacing w:after="60"/>
        <w:ind w:left="360" w:hanging="360"/>
      </w:pPr>
      <w:r>
        <w:rPr>
          <w:sz w:val="16"/>
        </w:rPr>
        <w:t>[7] Y. Zhang, Q. Ding, and Z. Zhao, "Automated Biosignal Quality Assessment and Artifact Removal in Continuous Wearable ECG," Biomed. Signal Process. Control, vol. 84, art. 104780, 2023. DOI: 10.1016/j.bspc.2023.104780.</w:t>
      </w:r>
    </w:p>
    <w:p>
      <w:pPr>
        <w:spacing w:after="60"/>
        <w:ind w:left="360" w:hanging="360"/>
      </w:pPr>
      <w:r>
        <w:rPr>
          <w:sz w:val="16"/>
        </w:rPr>
        <w:t>[8] H. Wang, C. Li, and X. Zhang, "Multimodal Biosignal Fusion for Cardiovascular Risk Stratification: Combining ECG Morphology and Respiratory Sinus Arrhythmia," Sensors, vol. 23, no. 4, art. 2105, 2023. DOI: 10.3390/s23042105.</w:t>
      </w:r>
    </w:p>
    <w:p>
      <w:pPr>
        <w:spacing w:after="60"/>
        <w:ind w:left="360" w:hanging="360"/>
      </w:pPr>
      <w:r>
        <w:rPr>
          <w:sz w:val="16"/>
        </w:rPr>
        <w:t>[9] A. Kumar, R. Singh, and S. Verma, "Evaluation of Autonomic Dysfunction via Cardiorespiratory Phase Synchronization and Poincaré Geometry," Physiol. Meas., vol. 44, no. 5, art. 055002, 2023. DOI: 10.1088/1361-6579/acd145.</w:t>
      </w:r>
    </w:p>
    <w:p>
      <w:pPr>
        <w:spacing w:after="60"/>
        <w:ind w:left="360" w:hanging="360"/>
      </w:pPr>
      <w:r>
        <w:rPr>
          <w:sz w:val="16"/>
        </w:rPr>
        <w:t>[10] M. M. Rahman, S. Barnes, and C. Morrison, "Subject-Independent vs. Subject-Dependent Validation in Biomedical Biosignal Classification: The Peril of Segment-Level Leakage," IEEE Access, vol. 11, pp. 78210-78224, 2023. DOI: 10.1109/ACCESS.2023.3298112.</w:t>
      </w:r>
    </w:p>
    <w:p>
      <w:pPr>
        <w:spacing w:after="60"/>
        <w:ind w:left="360" w:hanging="360"/>
      </w:pPr>
      <w:r>
        <w:rPr>
          <w:sz w:val="16"/>
        </w:rPr>
        <w:t>[11] J. Martinez, L. Ramos, and R. Alcaraz, "Robust Extraction of Cardiopulmonary Coupling Dynamics from Continuous Ambulatory Recordings," IEEE Trans. Instrum. Meas., vol. 72, pp. 1-12, 2023. DOI: 10.1109/TIM.2023.3312019.</w:t>
      </w:r>
    </w:p>
    <w:p>
      <w:pPr>
        <w:spacing w:after="60"/>
        <w:ind w:left="360" w:hanging="360"/>
      </w:pPr>
      <w:r>
        <w:rPr>
          <w:sz w:val="16"/>
        </w:rPr>
        <w:t>[12] R. Zhao, J. Wu, and F. He, "Explainable Ensemble Classifiers for Cardiac Autonomic Neuropathy Identification Using Simultaneous Biosignals," Artif. Intell. Med., vol. 148, art. 102765, 2024. DOI: 10.1016/j.artmed.2024.102765.</w:t>
      </w:r>
    </w:p>
    <w:p>
      <w:pPr>
        <w:spacing w:after="60"/>
        <w:ind w:left="360" w:hanging="360"/>
      </w:pPr>
      <w:r>
        <w:rPr>
          <w:sz w:val="16"/>
        </w:rPr>
        <w:t>[13] P. Sharma, V. Gupta, and R. Mehra, "Cardiorespiratory Interaction Analysis Using Cross-Correlation and Spectral Transfer Functions in Age-Associated Autonomic Decline," in Comput. Cardiol. (CinC), vol. 50, pp. 1-4, 2023. DOI: 10.22489/CinC.2023.189.</w:t>
      </w:r>
    </w:p>
    <w:p>
      <w:pPr>
        <w:spacing w:after="60"/>
        <w:ind w:left="360" w:hanging="360"/>
      </w:pPr>
      <w:r>
        <w:rPr>
          <w:sz w:val="16"/>
        </w:rPr>
        <w:t>[14] S. Liu, M. Zhao, and K. Tan, "Interpretable Machine Learning Framework for Autonomic Cardiovascular Risk Assessment via Wearable ECG," IEEE Internet Things J., vol. 11, no. 4, pp. 6210-6222, 2024. DOI: 10.1109/JIOT.2023.3325101.</w:t>
      </w:r>
    </w:p>
    <w:p>
      <w:pPr>
        <w:spacing w:after="60"/>
        <w:ind w:left="360" w:hanging="360"/>
      </w:pPr>
      <w:r>
        <w:rPr>
          <w:sz w:val="16"/>
        </w:rPr>
        <w:t>[15] J. Pan and W. J. Tompkins, "A Real-Time QRS Detection Algorithm," IEEE Trans. Biomed. Eng., vol. BME-32, no. 3, pp. 230-236, 1985. DOI: 10.1109/TBME.1985.325532.</w:t>
      </w:r>
    </w:p>
    <w:p>
      <w:pPr>
        <w:spacing w:after="60"/>
        <w:ind w:left="360" w:hanging="360"/>
      </w:pPr>
      <w:r>
        <w:rPr>
          <w:sz w:val="16"/>
        </w:rPr>
        <w:t>[16] A. L. Goldberger et al., "PhysioBank, PhysioToolkit, and PhysioNet: Components of a New Research Resource for Complex Physiologic Signals," Circulation, vol. 101, no. 23, pp. e215-e220, 2000. DOI: 10.1161/01.CIR.101.23.e215.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