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6"/>
          <w:szCs w:val="56"/>
        </w:rPr>
        <w:t xml:space="preserve">CAUSALCUT</w:t>
      </w:r>
    </w:p>
    <w:p>
      <w:pPr>
        <w:spacing w:after="0" w:before="120"/>
        <w:jc w:val="center"/>
      </w:pPr>
      <w:r>
        <w:rPr>
          <w:color w:val="2E5395"/>
          <w:sz w:val="32"/>
          <w:szCs w:val="32"/>
        </w:rPr>
        <w:t xml:space="preserve">Dynamic Barrier-Optimized Safety Twin</w:t>
      </w:r>
    </w:p>
    <w:p>
      <w:pPr>
        <w:spacing w:after="0" w:before="400"/>
        <w:jc w:val="center"/>
      </w:pPr>
      <w:r>
        <w:rPr>
          <w:i/>
          <w:iCs/>
          <w:sz w:val="26"/>
          <w:szCs w:val="26"/>
        </w:rPr>
        <w:t xml:space="preserve">Technical Gap Analysis and Migration Specification</w:t>
      </w:r>
    </w:p>
    <w:p>
      <w:pPr>
        <w:spacing w:after="0" w:before="800"/>
        <w:jc w:val="center"/>
      </w:pPr>
      <w:r>
        <w:rPr>
          <w:color w:val="555555"/>
          <w:sz w:val="22"/>
          <w:szCs w:val="22"/>
        </w:rPr>
        <w:t xml:space="preserve">ET AI Hackathon 2026 — Problem Statement 1</w:t>
      </w:r>
    </w:p>
    <w:p>
      <w:pPr>
        <w:spacing w:after="0" w:before="80"/>
        <w:jc w:val="center"/>
      </w:pPr>
      <w:r>
        <w:rPr>
          <w:color w:val="555555"/>
          <w:sz w:val="22"/>
          <w:szCs w:val="22"/>
        </w:rPr>
        <w:t xml:space="preserve">AI-Powered Industrial Safety Intelligence for Zero-Harm Operations</w:t>
      </w:r>
    </w:p>
    <w:p>
      <w:r>
        <w:br w:type="page"/>
      </w:r>
    </w:p>
    <w:p>
      <w:pPr>
        <w:pStyle w:val="Heading1"/>
        <w:spacing w:after="240" w:before="480"/>
      </w:pPr>
      <w:r>
        <w:rPr>
          <w:b/>
          <w:bCs/>
          <w:color w:val="1F3864"/>
        </w:rPr>
        <w:t xml:space="preserve">Table of Contents</w:t>
      </w:r>
    </w:p>
    <w:p>
      <w:pPr>
        <w:spacing w:after="140"/>
        <w:ind w:left="0"/>
      </w:pPr>
      <w:r>
        <w:rPr>
          <w:b/>
          <w:bCs/>
          <w:sz w:val="22"/>
          <w:szCs w:val="22"/>
        </w:rPr>
        <w:t xml:space="preserve">1. Purpose and Method</w:t>
      </w:r>
    </w:p>
    <w:p>
      <w:pPr>
        <w:spacing w:after="140"/>
        <w:ind w:left="0"/>
      </w:pPr>
      <w:r>
        <w:rPr>
          <w:b/>
          <w:bCs/>
          <w:sz w:val="22"/>
          <w:szCs w:val="22"/>
        </w:rPr>
        <w:t xml:space="preserve">2. Executive Summary of Gaps</w:t>
      </w:r>
    </w:p>
    <w:p>
      <w:pPr>
        <w:spacing w:after="140"/>
        <w:ind w:left="0"/>
      </w:pPr>
      <w:r>
        <w:rPr>
          <w:b/>
          <w:bCs/>
          <w:sz w:val="22"/>
          <w:szCs w:val="22"/>
        </w:rPr>
        <w:t xml:space="preserve">3. G1 — Formal Risk Model: Hypergraph → Bow-Tie / LOPA Conformance</w:t>
      </w:r>
    </w:p>
    <w:p>
      <w:pPr>
        <w:spacing w:after="80"/>
        <w:ind w:left="431"/>
      </w:pPr>
      <w:r>
        <w:rPr>
          <w:b w:val="false"/>
          <w:bCs w:val="false"/>
          <w:sz w:val="20"/>
          <w:szCs w:val="20"/>
        </w:rPr>
        <w:t xml:space="preserve">3.1 Current State</w:t>
      </w:r>
    </w:p>
    <w:p>
      <w:pPr>
        <w:spacing w:after="80"/>
        <w:ind w:left="431"/>
      </w:pPr>
      <w:r>
        <w:rPr>
          <w:b w:val="false"/>
          <w:bCs w:val="false"/>
          <w:sz w:val="20"/>
          <w:szCs w:val="20"/>
        </w:rPr>
        <w:t xml:space="preserve">3.2 Goal State</w:t>
      </w:r>
    </w:p>
    <w:p>
      <w:pPr>
        <w:spacing w:after="80"/>
        <w:ind w:left="431"/>
      </w:pPr>
      <w:r>
        <w:rPr>
          <w:b w:val="false"/>
          <w:bCs w:val="false"/>
          <w:sz w:val="20"/>
          <w:szCs w:val="20"/>
        </w:rPr>
        <w:t xml:space="preserve">3.3 Change Required</w:t>
      </w:r>
    </w:p>
    <w:p>
      <w:pPr>
        <w:spacing w:after="80"/>
        <w:ind w:left="431"/>
      </w:pPr>
      <w:r>
        <w:rPr>
          <w:b w:val="false"/>
          <w:bCs w:val="false"/>
          <w:sz w:val="20"/>
          <w:szCs w:val="20"/>
        </w:rPr>
        <w:t xml:space="preserve">3.4 Effort</w:t>
      </w:r>
    </w:p>
    <w:p>
      <w:pPr>
        <w:spacing w:after="140"/>
        <w:ind w:left="0"/>
      </w:pPr>
      <w:r>
        <w:rPr>
          <w:b/>
          <w:bCs/>
          <w:sz w:val="22"/>
          <w:szCs w:val="22"/>
        </w:rPr>
        <w:t xml:space="preserve">4. G2 — Reasoning Architecture: Deterministic-Only → Deterministic Core + Thin Agent Layer</w:t>
      </w:r>
    </w:p>
    <w:p>
      <w:pPr>
        <w:spacing w:after="80"/>
        <w:ind w:left="431"/>
      </w:pPr>
      <w:r>
        <w:rPr>
          <w:b w:val="false"/>
          <w:bCs w:val="false"/>
          <w:sz w:val="20"/>
          <w:szCs w:val="20"/>
        </w:rPr>
        <w:t xml:space="preserve">4.1 Current State</w:t>
      </w:r>
    </w:p>
    <w:p>
      <w:pPr>
        <w:spacing w:after="80"/>
        <w:ind w:left="431"/>
      </w:pPr>
      <w:r>
        <w:rPr>
          <w:b w:val="false"/>
          <w:bCs w:val="false"/>
          <w:sz w:val="20"/>
          <w:szCs w:val="20"/>
        </w:rPr>
        <w:t xml:space="preserve">4.2 Goal State — Design Constraint First</w:t>
      </w:r>
    </w:p>
    <w:p>
      <w:pPr>
        <w:spacing w:after="80"/>
        <w:ind w:left="431"/>
      </w:pPr>
      <w:r>
        <w:rPr>
          <w:b w:val="false"/>
          <w:bCs w:val="false"/>
          <w:sz w:val="20"/>
          <w:szCs w:val="20"/>
        </w:rPr>
        <w:t xml:space="preserve">4.3 Change Required</w:t>
      </w:r>
    </w:p>
    <w:p>
      <w:pPr>
        <w:spacing w:after="80"/>
        <w:ind w:left="431"/>
      </w:pPr>
      <w:r>
        <w:rPr>
          <w:b w:val="false"/>
          <w:bCs w:val="false"/>
          <w:sz w:val="20"/>
          <w:szCs w:val="20"/>
        </w:rPr>
        <w:t xml:space="preserve">4.4 Effort</w:t>
      </w:r>
    </w:p>
    <w:p>
      <w:pPr>
        <w:spacing w:after="140"/>
        <w:ind w:left="0"/>
      </w:pPr>
      <w:r>
        <w:rPr>
          <w:b/>
          <w:bCs/>
          <w:sz w:val="22"/>
          <w:szCs w:val="22"/>
        </w:rPr>
        <w:t xml:space="preserve">5. G3 — Geospatial Fidelity: Abstract Graph → Georeferenced Blueprint Overlay</w:t>
      </w:r>
    </w:p>
    <w:p>
      <w:pPr>
        <w:spacing w:after="80"/>
        <w:ind w:left="431"/>
      </w:pPr>
      <w:r>
        <w:rPr>
          <w:b w:val="false"/>
          <w:bCs w:val="false"/>
          <w:sz w:val="20"/>
          <w:szCs w:val="20"/>
        </w:rPr>
        <w:t xml:space="preserve">5.1 Current State</w:t>
      </w:r>
    </w:p>
    <w:p>
      <w:pPr>
        <w:spacing w:after="80"/>
        <w:ind w:left="431"/>
      </w:pPr>
      <w:r>
        <w:rPr>
          <w:b w:val="false"/>
          <w:bCs w:val="false"/>
          <w:sz w:val="20"/>
          <w:szCs w:val="20"/>
        </w:rPr>
        <w:t xml:space="preserve">5.2 Goal State</w:t>
      </w:r>
    </w:p>
    <w:p>
      <w:pPr>
        <w:spacing w:after="80"/>
        <w:ind w:left="431"/>
      </w:pPr>
      <w:r>
        <w:rPr>
          <w:b w:val="false"/>
          <w:bCs w:val="false"/>
          <w:sz w:val="20"/>
          <w:szCs w:val="20"/>
        </w:rPr>
        <w:t xml:space="preserve">5.3 Change Required</w:t>
      </w:r>
    </w:p>
    <w:p>
      <w:pPr>
        <w:spacing w:after="80"/>
        <w:ind w:left="431"/>
      </w:pPr>
      <w:r>
        <w:rPr>
          <w:b w:val="false"/>
          <w:bCs w:val="false"/>
          <w:sz w:val="20"/>
          <w:szCs w:val="20"/>
        </w:rPr>
        <w:t xml:space="preserve">5.4 Effort</w:t>
      </w:r>
    </w:p>
    <w:p>
      <w:pPr>
        <w:spacing w:after="140"/>
        <w:ind w:left="0"/>
      </w:pPr>
      <w:r>
        <w:rPr>
          <w:b/>
          <w:bCs/>
          <w:sz w:val="22"/>
          <w:szCs w:val="22"/>
        </w:rPr>
        <w:t xml:space="preserve">6. G4 — Incident Pattern Intelligence: Regulatory-Only RAG → Dual-Corpus RAG</w:t>
      </w:r>
    </w:p>
    <w:p>
      <w:pPr>
        <w:spacing w:after="80"/>
        <w:ind w:left="431"/>
      </w:pPr>
      <w:r>
        <w:rPr>
          <w:b w:val="false"/>
          <w:bCs w:val="false"/>
          <w:sz w:val="20"/>
          <w:szCs w:val="20"/>
        </w:rPr>
        <w:t xml:space="preserve">6.1 Current State</w:t>
      </w:r>
    </w:p>
    <w:p>
      <w:pPr>
        <w:spacing w:after="80"/>
        <w:ind w:left="431"/>
      </w:pPr>
      <w:r>
        <w:rPr>
          <w:b w:val="false"/>
          <w:bCs w:val="false"/>
          <w:sz w:val="20"/>
          <w:szCs w:val="20"/>
        </w:rPr>
        <w:t xml:space="preserve">6.2 Goal State</w:t>
      </w:r>
    </w:p>
    <w:p>
      <w:pPr>
        <w:spacing w:after="80"/>
        <w:ind w:left="431"/>
      </w:pPr>
      <w:r>
        <w:rPr>
          <w:b w:val="false"/>
          <w:bCs w:val="false"/>
          <w:sz w:val="20"/>
          <w:szCs w:val="20"/>
        </w:rPr>
        <w:t xml:space="preserve">6.3 Change Required</w:t>
      </w:r>
    </w:p>
    <w:p>
      <w:pPr>
        <w:spacing w:after="80"/>
        <w:ind w:left="431"/>
      </w:pPr>
      <w:r>
        <w:rPr>
          <w:b w:val="false"/>
          <w:bCs w:val="false"/>
          <w:sz w:val="20"/>
          <w:szCs w:val="20"/>
        </w:rPr>
        <w:t xml:space="preserve">6.4 Effort</w:t>
      </w:r>
    </w:p>
    <w:p>
      <w:pPr>
        <w:spacing w:after="140"/>
        <w:ind w:left="0"/>
      </w:pPr>
      <w:r>
        <w:rPr>
          <w:b/>
          <w:bCs/>
          <w:sz w:val="22"/>
          <w:szCs w:val="22"/>
        </w:rPr>
        <w:t xml:space="preserve">7. G5 — Emergency Response: Approval-Gated Only → Agent-Drafted, Still Approval-Gated</w:t>
      </w:r>
    </w:p>
    <w:p>
      <w:pPr>
        <w:spacing w:after="80"/>
        <w:ind w:left="431"/>
      </w:pPr>
      <w:r>
        <w:rPr>
          <w:b w:val="false"/>
          <w:bCs w:val="false"/>
          <w:sz w:val="20"/>
          <w:szCs w:val="20"/>
        </w:rPr>
        <w:t xml:space="preserve">7.1 Current State</w:t>
      </w:r>
    </w:p>
    <w:p>
      <w:pPr>
        <w:spacing w:after="80"/>
        <w:ind w:left="431"/>
      </w:pPr>
      <w:r>
        <w:rPr>
          <w:b w:val="false"/>
          <w:bCs w:val="false"/>
          <w:sz w:val="20"/>
          <w:szCs w:val="20"/>
        </w:rPr>
        <w:t xml:space="preserve">7.2 Goal State</w:t>
      </w:r>
    </w:p>
    <w:p>
      <w:pPr>
        <w:spacing w:after="80"/>
        <w:ind w:left="431"/>
      </w:pPr>
      <w:r>
        <w:rPr>
          <w:b w:val="false"/>
          <w:bCs w:val="false"/>
          <w:sz w:val="20"/>
          <w:szCs w:val="20"/>
        </w:rPr>
        <w:t xml:space="preserve">7.3 Effort</w:t>
      </w:r>
    </w:p>
    <w:p>
      <w:pPr>
        <w:spacing w:after="140"/>
        <w:ind w:left="0"/>
      </w:pPr>
      <w:r>
        <w:rPr>
          <w:b/>
          <w:bCs/>
          <w:sz w:val="22"/>
          <w:szCs w:val="22"/>
        </w:rPr>
        <w:t xml:space="preserve">8. G6 — Barrier State: Binary Status → Live Barrier Health</w:t>
      </w:r>
    </w:p>
    <w:p>
      <w:pPr>
        <w:spacing w:after="80"/>
        <w:ind w:left="431"/>
      </w:pPr>
      <w:r>
        <w:rPr>
          <w:b w:val="false"/>
          <w:bCs w:val="false"/>
          <w:sz w:val="20"/>
          <w:szCs w:val="20"/>
        </w:rPr>
        <w:t xml:space="preserve">8.1 Current State</w:t>
      </w:r>
    </w:p>
    <w:p>
      <w:pPr>
        <w:spacing w:after="80"/>
        <w:ind w:left="431"/>
      </w:pPr>
      <w:r>
        <w:rPr>
          <w:b w:val="false"/>
          <w:bCs w:val="false"/>
          <w:sz w:val="20"/>
          <w:szCs w:val="20"/>
        </w:rPr>
        <w:t xml:space="preserve">8.2 Goal State</w:t>
      </w:r>
    </w:p>
    <w:p>
      <w:pPr>
        <w:spacing w:after="80"/>
        <w:ind w:left="431"/>
      </w:pPr>
      <w:r>
        <w:rPr>
          <w:b w:val="false"/>
          <w:bCs w:val="false"/>
          <w:sz w:val="20"/>
          <w:szCs w:val="20"/>
        </w:rPr>
        <w:t xml:space="preserve">8.3 Effort</w:t>
      </w:r>
    </w:p>
    <w:p>
      <w:pPr>
        <w:spacing w:after="140"/>
        <w:ind w:left="0"/>
      </w:pPr>
      <w:r>
        <w:rPr>
          <w:b/>
          <w:bCs/>
          <w:sz w:val="22"/>
          <w:szCs w:val="22"/>
        </w:rPr>
        <w:t xml:space="preserve">9. G7, G8, G9 — Lower-Priority Items</w:t>
      </w:r>
    </w:p>
    <w:p>
      <w:pPr>
        <w:spacing w:after="140"/>
        <w:ind w:left="0"/>
      </w:pPr>
      <w:r>
        <w:rPr>
          <w:b/>
          <w:bCs/>
          <w:sz w:val="22"/>
          <w:szCs w:val="22"/>
        </w:rPr>
        <w:t xml:space="preserve">10. Consolidated Data Model Changes</w:t>
      </w:r>
    </w:p>
    <w:p>
      <w:pPr>
        <w:spacing w:after="140"/>
        <w:ind w:left="0"/>
      </w:pPr>
      <w:r>
        <w:rPr>
          <w:b/>
          <w:bCs/>
          <w:sz w:val="22"/>
          <w:szCs w:val="22"/>
        </w:rPr>
        <w:t xml:space="preserve">11. Sequencing Plan for Hackathon Timeframe</w:t>
      </w:r>
    </w:p>
    <w:p>
      <w:pPr>
        <w:spacing w:after="140"/>
        <w:ind w:left="0"/>
      </w:pPr>
      <w:r>
        <w:rPr>
          <w:b/>
          <w:bCs/>
          <w:sz w:val="22"/>
          <w:szCs w:val="22"/>
        </w:rPr>
        <w:t xml:space="preserve">12. What Not to Change</w:t>
      </w:r>
    </w:p>
    <w:p>
      <w:r>
        <w:br w:type="page"/>
      </w:r>
    </w:p>
    <w:p>
      <w:pPr>
        <w:pStyle w:val="Heading1"/>
        <w:spacing w:after="240" w:before="480"/>
      </w:pPr>
      <w:r>
        <w:rPr>
          <w:b/>
          <w:bCs/>
          <w:color w:val="1F3864"/>
        </w:rPr>
        <w:t xml:space="preserve">1. Purpose and Method</w:t>
      </w:r>
    </w:p>
    <w:p>
      <w:pPr>
        <w:spacing w:after="160"/>
      </w:pPr>
      <w:r>
        <w:rPr>
          <w:sz w:val="21"/>
          <w:szCs w:val="21"/>
        </w:rPr>
        <w:t xml:space="preserve">This document specifies what must change in CAUSALCUT to close the gap between the current implementation and (a) the literal requirements of the problem statement, and (b) the formalism used by production process-safety systems in industry (bow-tie / LOPA / dynamic barrier management), so that the system's design vocabulary and technical claims are defensible under expert questioning.</w:t>
      </w:r>
    </w:p>
    <w:p>
      <w:pPr>
        <w:spacing w:after="160"/>
      </w:pPr>
      <w:r>
        <w:rPr>
          <w:sz w:val="21"/>
          <w:szCs w:val="21"/>
        </w:rPr>
        <w:t xml:space="preserve">Every gap below is stated as: current state → goal state → change required → why it matters for judging and defensibility. Changes are ordered by priority, where priority is determined by (1) coverage of an explicitly named deliverable in the problem statement that is currently at zero, (2) cost of implementation within a hackathon timeframe, and (3) contribution to the Innovation and Technical Excellence judging criteria (45% combined weight).</w:t>
      </w:r>
    </w:p>
    <w:p>
      <w:pPr>
        <w:pStyle w:val="Heading1"/>
        <w:spacing w:after="240" w:before="480"/>
      </w:pPr>
      <w:r>
        <w:rPr>
          <w:b/>
          <w:bCs/>
          <w:color w:val="1F3864"/>
        </w:rPr>
        <w:t xml:space="preserve">2. Executive Summary of Gaps</w:t>
      </w:r>
    </w:p>
    <w:tbl>
      <w:tblPr>
        <w:tblW w:type="dxa" w:w="9800"/>
        <w:tblBorders>
          <w:top w:val="single" w:color="B7C3D9" w:sz="4"/>
          <w:left w:val="single" w:color="B7C3D9" w:sz="4"/>
          <w:bottom w:val="single" w:color="B7C3D9" w:sz="4"/>
          <w:right w:val="single" w:color="B7C3D9" w:sz="4"/>
          <w:insideH w:val="single" w:color="B7C3D9" w:sz="2"/>
          <w:insideV w:val="single" w:color="B7C3D9" w:sz="2"/>
        </w:tblBorders>
      </w:tblPr>
      <w:tblGrid>
        <w:gridCol w:w="500"/>
        <w:gridCol w:w="1900"/>
        <w:gridCol w:w="3200"/>
        <w:gridCol w:w="3400"/>
        <w:gridCol w:w="800"/>
      </w:tblGrid>
      <w:tr>
        <w:trPr>
          <w:tblHeader/>
        </w:trPr>
        <w:tc>
          <w:tcPr>
            <w:tcW w:type="dxa" w:w="500"/>
            <w:shd w:fill="1F3864" w:color="auto"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1900"/>
            <w:shd w:fill="1F3864" w:color="auto" w:val="clear"/>
            <w:tcMar>
              <w:top w:type="dxa" w:w="80"/>
              <w:left w:type="dxa" w:w="100"/>
              <w:bottom w:type="dxa" w:w="80"/>
              <w:right w:type="dxa" w:w="100"/>
            </w:tcMar>
            <w:vAlign w:val="center"/>
          </w:tcPr>
          <w:p>
            <w:pPr>
              <w:spacing w:after="0"/>
            </w:pPr>
            <w:r>
              <w:rPr>
                <w:b/>
                <w:bCs/>
                <w:color w:val="FFFFFF"/>
                <w:sz w:val="19"/>
                <w:szCs w:val="19"/>
              </w:rPr>
              <w:t xml:space="preserve">Area</w:t>
            </w:r>
          </w:p>
        </w:tc>
        <w:tc>
          <w:tcPr>
            <w:tcW w:type="dxa" w:w="3200"/>
            <w:shd w:fill="1F3864" w:color="auto" w:val="clear"/>
            <w:tcMar>
              <w:top w:type="dxa" w:w="80"/>
              <w:left w:type="dxa" w:w="100"/>
              <w:bottom w:type="dxa" w:w="80"/>
              <w:right w:type="dxa" w:w="100"/>
            </w:tcMar>
            <w:vAlign w:val="center"/>
          </w:tcPr>
          <w:p>
            <w:pPr>
              <w:spacing w:after="0"/>
            </w:pPr>
            <w:r>
              <w:rPr>
                <w:b/>
                <w:bCs/>
                <w:color w:val="FFFFFF"/>
                <w:sz w:val="19"/>
                <w:szCs w:val="19"/>
              </w:rPr>
              <w:t xml:space="preserve">Current State</w:t>
            </w:r>
          </w:p>
        </w:tc>
        <w:tc>
          <w:tcPr>
            <w:tcW w:type="dxa" w:w="3400"/>
            <w:shd w:fill="1F3864" w:color="auto" w:val="clear"/>
            <w:tcMar>
              <w:top w:type="dxa" w:w="80"/>
              <w:left w:type="dxa" w:w="100"/>
              <w:bottom w:type="dxa" w:w="80"/>
              <w:right w:type="dxa" w:w="100"/>
            </w:tcMar>
            <w:vAlign w:val="center"/>
          </w:tcPr>
          <w:p>
            <w:pPr>
              <w:spacing w:after="0"/>
            </w:pPr>
            <w:r>
              <w:rPr>
                <w:b/>
                <w:bCs/>
                <w:color w:val="FFFFFF"/>
                <w:sz w:val="19"/>
                <w:szCs w:val="19"/>
              </w:rPr>
              <w:t xml:space="preserve">Goal State</w:t>
            </w:r>
          </w:p>
        </w:tc>
        <w:tc>
          <w:tcPr>
            <w:tcW w:type="dxa" w:w="800"/>
            <w:shd w:fill="1F3864" w:color="auto" w:val="clear"/>
            <w:tcMar>
              <w:top w:type="dxa" w:w="80"/>
              <w:left w:type="dxa" w:w="100"/>
              <w:bottom w:type="dxa" w:w="80"/>
              <w:right w:type="dxa" w:w="100"/>
            </w:tcMar>
            <w:vAlign w:val="center"/>
          </w:tcPr>
          <w:p>
            <w:pPr>
              <w:spacing w:after="0"/>
            </w:pPr>
            <w:r>
              <w:rPr>
                <w:b/>
                <w:bCs/>
                <w:color w:val="FFFFFF"/>
                <w:sz w:val="19"/>
                <w:szCs w:val="19"/>
              </w:rPr>
              <w:t xml:space="preserve">Priority</w:t>
            </w:r>
          </w:p>
        </w:tc>
      </w:tr>
      <w:tr>
        <w:tc>
          <w:tcPr>
            <w:tcW w:type="dxa" w:w="500"/>
            <w:shd w:fill="F8D7DA" w:color="auto" w:val="clear"/>
            <w:tcMar>
              <w:top w:type="dxa" w:w="80"/>
              <w:left w:type="dxa" w:w="100"/>
              <w:bottom w:type="dxa" w:w="80"/>
              <w:right w:type="dxa" w:w="100"/>
            </w:tcMar>
            <w:vAlign w:val="center"/>
          </w:tcPr>
          <w:p>
            <w:pPr>
              <w:spacing w:after="0"/>
            </w:pPr>
            <w:r>
              <w:rPr>
                <w:b w:val="false"/>
                <w:bCs w:val="false"/>
                <w:sz w:val="19"/>
                <w:szCs w:val="19"/>
              </w:rPr>
              <w:t xml:space="preserve">G1</w:t>
            </w:r>
          </w:p>
        </w:tc>
        <w:tc>
          <w:tcPr>
            <w:tcW w:type="dxa" w:w="1900"/>
            <w:shd w:fill="F8D7DA" w:color="auto" w:val="clear"/>
            <w:tcMar>
              <w:top w:type="dxa" w:w="80"/>
              <w:left w:type="dxa" w:w="100"/>
              <w:bottom w:type="dxa" w:w="80"/>
              <w:right w:type="dxa" w:w="100"/>
            </w:tcMar>
            <w:vAlign w:val="center"/>
          </w:tcPr>
          <w:p>
            <w:pPr>
              <w:spacing w:after="0"/>
            </w:pPr>
            <w:r>
              <w:rPr>
                <w:b w:val="false"/>
                <w:bCs w:val="false"/>
                <w:sz w:val="19"/>
                <w:szCs w:val="19"/>
              </w:rPr>
              <w:t xml:space="preserve">Formal risk model</w:t>
            </w:r>
          </w:p>
        </w:tc>
        <w:tc>
          <w:tcPr>
            <w:tcW w:type="dxa" w:w="3200"/>
            <w:shd w:fill="F8D7DA" w:color="auto" w:val="clear"/>
            <w:tcMar>
              <w:top w:type="dxa" w:w="80"/>
              <w:left w:type="dxa" w:w="100"/>
              <w:bottom w:type="dxa" w:w="80"/>
              <w:right w:type="dxa" w:w="100"/>
            </w:tcMar>
            <w:vAlign w:val="center"/>
          </w:tcPr>
          <w:p>
            <w:pPr>
              <w:spacing w:after="0"/>
            </w:pPr>
            <w:r>
              <w:rPr>
                <w:b w:val="false"/>
                <w:bCs w:val="false"/>
                <w:sz w:val="19"/>
                <w:szCs w:val="19"/>
              </w:rPr>
              <w:t xml:space="preserve">Ad hoc hypergraph + rule engine, no named methodology</w:t>
            </w:r>
          </w:p>
        </w:tc>
        <w:tc>
          <w:tcPr>
            <w:tcW w:type="dxa" w:w="3400"/>
            <w:shd w:fill="F8D7DA" w:color="auto" w:val="clear"/>
            <w:tcMar>
              <w:top w:type="dxa" w:w="80"/>
              <w:left w:type="dxa" w:w="100"/>
              <w:bottom w:type="dxa" w:w="80"/>
              <w:right w:type="dxa" w:w="100"/>
            </w:tcMar>
            <w:vAlign w:val="center"/>
          </w:tcPr>
          <w:p>
            <w:pPr>
              <w:spacing w:after="0"/>
            </w:pPr>
            <w:r>
              <w:rPr>
                <w:b w:val="false"/>
                <w:bCs w:val="false"/>
                <w:sz w:val="19"/>
                <w:szCs w:val="19"/>
              </w:rPr>
              <w:t xml:space="preserve">Bow-tie / LOPA-conformant model; hypergraph as execution substrate under a recognized formalism</w:t>
            </w:r>
          </w:p>
        </w:tc>
        <w:tc>
          <w:tcPr>
            <w:tcW w:type="dxa" w:w="800"/>
            <w:shd w:fill="F8D7DA" w:color="auto" w:val="clear"/>
            <w:tcMar>
              <w:top w:type="dxa" w:w="80"/>
              <w:left w:type="dxa" w:w="100"/>
              <w:bottom w:type="dxa" w:w="80"/>
              <w:right w:type="dxa" w:w="100"/>
            </w:tcMar>
            <w:vAlign w:val="center"/>
          </w:tcPr>
          <w:p>
            <w:pPr>
              <w:spacing w:after="0"/>
            </w:pPr>
            <w:r>
              <w:rPr>
                <w:b w:val="false"/>
                <w:bCs w:val="false"/>
                <w:sz w:val="19"/>
                <w:szCs w:val="19"/>
              </w:rPr>
              <w:t xml:space="preserve">P0</w:t>
            </w:r>
          </w:p>
        </w:tc>
      </w:tr>
      <w:tr>
        <w:tc>
          <w:tcPr>
            <w:tcW w:type="dxa" w:w="500"/>
            <w:shd w:fill="F8D7DA" w:color="auto" w:val="clear"/>
            <w:tcMar>
              <w:top w:type="dxa" w:w="80"/>
              <w:left w:type="dxa" w:w="100"/>
              <w:bottom w:type="dxa" w:w="80"/>
              <w:right w:type="dxa" w:w="100"/>
            </w:tcMar>
            <w:vAlign w:val="center"/>
          </w:tcPr>
          <w:p>
            <w:pPr>
              <w:spacing w:after="0"/>
            </w:pPr>
            <w:r>
              <w:rPr>
                <w:b w:val="false"/>
                <w:bCs w:val="false"/>
                <w:sz w:val="19"/>
                <w:szCs w:val="19"/>
              </w:rPr>
              <w:t xml:space="preserve">G2</w:t>
            </w:r>
          </w:p>
        </w:tc>
        <w:tc>
          <w:tcPr>
            <w:tcW w:type="dxa" w:w="1900"/>
            <w:shd w:fill="F8D7DA" w:color="auto" w:val="clear"/>
            <w:tcMar>
              <w:top w:type="dxa" w:w="80"/>
              <w:left w:type="dxa" w:w="100"/>
              <w:bottom w:type="dxa" w:w="80"/>
              <w:right w:type="dxa" w:w="100"/>
            </w:tcMar>
            <w:vAlign w:val="center"/>
          </w:tcPr>
          <w:p>
            <w:pPr>
              <w:spacing w:after="0"/>
            </w:pPr>
            <w:r>
              <w:rPr>
                <w:b w:val="false"/>
                <w:bCs w:val="false"/>
                <w:sz w:val="19"/>
                <w:szCs w:val="19"/>
              </w:rPr>
              <w:t xml:space="preserve">Reasoning architecture</w:t>
            </w:r>
          </w:p>
        </w:tc>
        <w:tc>
          <w:tcPr>
            <w:tcW w:type="dxa" w:w="3200"/>
            <w:shd w:fill="F8D7DA" w:color="auto" w:val="clear"/>
            <w:tcMar>
              <w:top w:type="dxa" w:w="80"/>
              <w:left w:type="dxa" w:w="100"/>
              <w:bottom w:type="dxa" w:w="80"/>
              <w:right w:type="dxa" w:w="100"/>
            </w:tcMar>
            <w:vAlign w:val="center"/>
          </w:tcPr>
          <w:p>
            <w:pPr>
              <w:spacing w:after="0"/>
            </w:pPr>
            <w:r>
              <w:rPr>
                <w:b w:val="false"/>
                <w:bCs w:val="false"/>
                <w:sz w:val="19"/>
                <w:szCs w:val="19"/>
              </w:rPr>
              <w:t xml:space="preserve">Deterministic rule engine only</w:t>
            </w:r>
          </w:p>
        </w:tc>
        <w:tc>
          <w:tcPr>
            <w:tcW w:type="dxa" w:w="3400"/>
            <w:shd w:fill="F8D7DA" w:color="auto" w:val="clear"/>
            <w:tcMar>
              <w:top w:type="dxa" w:w="80"/>
              <w:left w:type="dxa" w:w="100"/>
              <w:bottom w:type="dxa" w:w="80"/>
              <w:right w:type="dxa" w:w="100"/>
            </w:tcMar>
            <w:vAlign w:val="center"/>
          </w:tcPr>
          <w:p>
            <w:pPr>
              <w:spacing w:after="0"/>
            </w:pPr>
            <w:r>
              <w:rPr>
                <w:b w:val="false"/>
                <w:bCs w:val="false"/>
                <w:sz w:val="19"/>
                <w:szCs w:val="19"/>
              </w:rPr>
              <w:t xml:space="preserve">Deterministic core retained, wrapped by a thin multi-agent layer for correlation, response drafting, pattern mining</w:t>
            </w:r>
          </w:p>
        </w:tc>
        <w:tc>
          <w:tcPr>
            <w:tcW w:type="dxa" w:w="800"/>
            <w:shd w:fill="F8D7DA" w:color="auto" w:val="clear"/>
            <w:tcMar>
              <w:top w:type="dxa" w:w="80"/>
              <w:left w:type="dxa" w:w="100"/>
              <w:bottom w:type="dxa" w:w="80"/>
              <w:right w:type="dxa" w:w="100"/>
            </w:tcMar>
            <w:vAlign w:val="center"/>
          </w:tcPr>
          <w:p>
            <w:pPr>
              <w:spacing w:after="0"/>
            </w:pPr>
            <w:r>
              <w:rPr>
                <w:b w:val="false"/>
                <w:bCs w:val="false"/>
                <w:sz w:val="19"/>
                <w:szCs w:val="19"/>
              </w:rPr>
              <w:t xml:space="preserve">P0</w:t>
            </w:r>
          </w:p>
        </w:tc>
      </w:tr>
      <w:tr>
        <w:tc>
          <w:tcPr>
            <w:tcW w:type="dxa" w:w="500"/>
            <w:shd w:fill="F8D7DA" w:color="auto" w:val="clear"/>
            <w:tcMar>
              <w:top w:type="dxa" w:w="80"/>
              <w:left w:type="dxa" w:w="100"/>
              <w:bottom w:type="dxa" w:w="80"/>
              <w:right w:type="dxa" w:w="100"/>
            </w:tcMar>
            <w:vAlign w:val="center"/>
          </w:tcPr>
          <w:p>
            <w:pPr>
              <w:spacing w:after="0"/>
            </w:pPr>
            <w:r>
              <w:rPr>
                <w:b w:val="false"/>
                <w:bCs w:val="false"/>
                <w:sz w:val="19"/>
                <w:szCs w:val="19"/>
              </w:rPr>
              <w:t xml:space="preserve">G3</w:t>
            </w:r>
          </w:p>
        </w:tc>
        <w:tc>
          <w:tcPr>
            <w:tcW w:type="dxa" w:w="1900"/>
            <w:shd w:fill="F8D7DA" w:color="auto" w:val="clear"/>
            <w:tcMar>
              <w:top w:type="dxa" w:w="80"/>
              <w:left w:type="dxa" w:w="100"/>
              <w:bottom w:type="dxa" w:w="80"/>
              <w:right w:type="dxa" w:w="100"/>
            </w:tcMar>
            <w:vAlign w:val="center"/>
          </w:tcPr>
          <w:p>
            <w:pPr>
              <w:spacing w:after="0"/>
            </w:pPr>
            <w:r>
              <w:rPr>
                <w:b w:val="false"/>
                <w:bCs w:val="false"/>
                <w:sz w:val="19"/>
                <w:szCs w:val="19"/>
              </w:rPr>
              <w:t xml:space="preserve">Geospatial fidelity</w:t>
            </w:r>
          </w:p>
        </w:tc>
        <w:tc>
          <w:tcPr>
            <w:tcW w:type="dxa" w:w="3200"/>
            <w:shd w:fill="F8D7DA" w:color="auto" w:val="clear"/>
            <w:tcMar>
              <w:top w:type="dxa" w:w="80"/>
              <w:left w:type="dxa" w:w="100"/>
              <w:bottom w:type="dxa" w:w="80"/>
              <w:right w:type="dxa" w:w="100"/>
            </w:tcMar>
            <w:vAlign w:val="center"/>
          </w:tcPr>
          <w:p>
            <w:pPr>
              <w:spacing w:after="0"/>
            </w:pPr>
            <w:r>
              <w:rPr>
                <w:b w:val="false"/>
                <w:bCs w:val="false"/>
                <w:sz w:val="19"/>
                <w:szCs w:val="19"/>
              </w:rPr>
              <w:t xml:space="preserve">6-node abstract SVG graph, no real coordinates</w:t>
            </w:r>
          </w:p>
        </w:tc>
        <w:tc>
          <w:tcPr>
            <w:tcW w:type="dxa" w:w="3400"/>
            <w:shd w:fill="F8D7DA" w:color="auto" w:val="clear"/>
            <w:tcMar>
              <w:top w:type="dxa" w:w="80"/>
              <w:left w:type="dxa" w:w="100"/>
              <w:bottom w:type="dxa" w:w="80"/>
              <w:right w:type="dxa" w:w="100"/>
            </w:tcMar>
            <w:vAlign w:val="center"/>
          </w:tcPr>
          <w:p>
            <w:pPr>
              <w:spacing w:after="0"/>
            </w:pPr>
            <w:r>
              <w:rPr>
                <w:b w:val="false"/>
                <w:bCs w:val="false"/>
                <w:sz w:val="19"/>
                <w:szCs w:val="19"/>
              </w:rPr>
              <w:t xml:space="preserve">Georeferenced zone polygons anchored to blueprint coordinate space; real positions plotted spatially</w:t>
            </w:r>
          </w:p>
        </w:tc>
        <w:tc>
          <w:tcPr>
            <w:tcW w:type="dxa" w:w="800"/>
            <w:shd w:fill="F8D7DA" w:color="auto" w:val="clear"/>
            <w:tcMar>
              <w:top w:type="dxa" w:w="80"/>
              <w:left w:type="dxa" w:w="100"/>
              <w:bottom w:type="dxa" w:w="80"/>
              <w:right w:type="dxa" w:w="100"/>
            </w:tcMar>
            <w:vAlign w:val="center"/>
          </w:tcPr>
          <w:p>
            <w:pPr>
              <w:spacing w:after="0"/>
            </w:pPr>
            <w:r>
              <w:rPr>
                <w:b w:val="false"/>
                <w:bCs w:val="false"/>
                <w:sz w:val="19"/>
                <w:szCs w:val="19"/>
              </w:rPr>
              <w:t xml:space="preserve">P0</w:t>
            </w:r>
          </w:p>
        </w:tc>
      </w:tr>
      <w:tr>
        <w:tc>
          <w:tcPr>
            <w:tcW w:type="dxa" w:w="500"/>
            <w:shd w:fill="F8D7DA" w:color="auto" w:val="clear"/>
            <w:tcMar>
              <w:top w:type="dxa" w:w="80"/>
              <w:left w:type="dxa" w:w="100"/>
              <w:bottom w:type="dxa" w:w="80"/>
              <w:right w:type="dxa" w:w="100"/>
            </w:tcMar>
            <w:vAlign w:val="center"/>
          </w:tcPr>
          <w:p>
            <w:pPr>
              <w:spacing w:after="0"/>
            </w:pPr>
            <w:r>
              <w:rPr>
                <w:b w:val="false"/>
                <w:bCs w:val="false"/>
                <w:sz w:val="19"/>
                <w:szCs w:val="19"/>
              </w:rPr>
              <w:t xml:space="preserve">G4</w:t>
            </w:r>
          </w:p>
        </w:tc>
        <w:tc>
          <w:tcPr>
            <w:tcW w:type="dxa" w:w="1900"/>
            <w:shd w:fill="F8D7DA" w:color="auto" w:val="clear"/>
            <w:tcMar>
              <w:top w:type="dxa" w:w="80"/>
              <w:left w:type="dxa" w:w="100"/>
              <w:bottom w:type="dxa" w:w="80"/>
              <w:right w:type="dxa" w:w="100"/>
            </w:tcMar>
            <w:vAlign w:val="center"/>
          </w:tcPr>
          <w:p>
            <w:pPr>
              <w:spacing w:after="0"/>
            </w:pPr>
            <w:r>
              <w:rPr>
                <w:b w:val="false"/>
                <w:bCs w:val="false"/>
                <w:sz w:val="19"/>
                <w:szCs w:val="19"/>
              </w:rPr>
              <w:t xml:space="preserve">Incident/near-miss intelligence</w:t>
            </w:r>
          </w:p>
        </w:tc>
        <w:tc>
          <w:tcPr>
            <w:tcW w:type="dxa" w:w="3200"/>
            <w:shd w:fill="F8D7DA" w:color="auto" w:val="clear"/>
            <w:tcMar>
              <w:top w:type="dxa" w:w="80"/>
              <w:left w:type="dxa" w:w="100"/>
              <w:bottom w:type="dxa" w:w="80"/>
              <w:right w:type="dxa" w:w="100"/>
            </w:tcMar>
            <w:vAlign w:val="center"/>
          </w:tcPr>
          <w:p>
            <w:pPr>
              <w:spacing w:after="0"/>
            </w:pPr>
            <w:r>
              <w:rPr>
                <w:b w:val="false"/>
                <w:bCs w:val="false"/>
                <w:sz w:val="19"/>
                <w:szCs w:val="19"/>
              </w:rPr>
              <w:t xml:space="preserve">RAG covers regulatory text only</w:t>
            </w:r>
          </w:p>
        </w:tc>
        <w:tc>
          <w:tcPr>
            <w:tcW w:type="dxa" w:w="3400"/>
            <w:shd w:fill="F8D7DA" w:color="auto" w:val="clear"/>
            <w:tcMar>
              <w:top w:type="dxa" w:w="80"/>
              <w:left w:type="dxa" w:w="100"/>
              <w:bottom w:type="dxa" w:w="80"/>
              <w:right w:type="dxa" w:w="100"/>
            </w:tcMar>
            <w:vAlign w:val="center"/>
          </w:tcPr>
          <w:p>
            <w:pPr>
              <w:spacing w:after="0"/>
            </w:pPr>
            <w:r>
              <w:rPr>
                <w:b w:val="false"/>
                <w:bCs w:val="false"/>
                <w:sz w:val="19"/>
                <w:szCs w:val="19"/>
              </w:rPr>
              <w:t xml:space="preserve">Second RAG corpus over historical incident/near-miss reports, with pattern-surfacing endpoint</w:t>
            </w:r>
          </w:p>
        </w:tc>
        <w:tc>
          <w:tcPr>
            <w:tcW w:type="dxa" w:w="800"/>
            <w:shd w:fill="F8D7DA" w:color="auto" w:val="clear"/>
            <w:tcMar>
              <w:top w:type="dxa" w:w="80"/>
              <w:left w:type="dxa" w:w="100"/>
              <w:bottom w:type="dxa" w:w="80"/>
              <w:right w:type="dxa" w:w="100"/>
            </w:tcMar>
            <w:vAlign w:val="center"/>
          </w:tcPr>
          <w:p>
            <w:pPr>
              <w:spacing w:after="0"/>
            </w:pPr>
            <w:r>
              <w:rPr>
                <w:b w:val="false"/>
                <w:bCs w:val="false"/>
                <w:sz w:val="19"/>
                <w:szCs w:val="19"/>
              </w:rPr>
              <w:t xml:space="preserve">P0</w:t>
            </w:r>
          </w:p>
        </w:tc>
      </w:tr>
      <w:tr>
        <w:tc>
          <w:tcPr>
            <w:tcW w:type="dxa" w:w="500"/>
            <w:shd w:fill="FFF3CD" w:color="auto" w:val="clear"/>
            <w:tcMar>
              <w:top w:type="dxa" w:w="80"/>
              <w:left w:type="dxa" w:w="100"/>
              <w:bottom w:type="dxa" w:w="80"/>
              <w:right w:type="dxa" w:w="100"/>
            </w:tcMar>
            <w:vAlign w:val="center"/>
          </w:tcPr>
          <w:p>
            <w:pPr>
              <w:spacing w:after="0"/>
            </w:pPr>
            <w:r>
              <w:rPr>
                <w:b w:val="false"/>
                <w:bCs w:val="false"/>
                <w:sz w:val="19"/>
                <w:szCs w:val="19"/>
              </w:rPr>
              <w:t xml:space="preserve">G5</w:t>
            </w:r>
          </w:p>
        </w:tc>
        <w:tc>
          <w:tcPr>
            <w:tcW w:type="dxa" w:w="1900"/>
            <w:shd w:fill="FFF3CD" w:color="auto" w:val="clear"/>
            <w:tcMar>
              <w:top w:type="dxa" w:w="80"/>
              <w:left w:type="dxa" w:w="100"/>
              <w:bottom w:type="dxa" w:w="80"/>
              <w:right w:type="dxa" w:w="100"/>
            </w:tcMar>
            <w:vAlign w:val="center"/>
          </w:tcPr>
          <w:p>
            <w:pPr>
              <w:spacing w:after="0"/>
            </w:pPr>
            <w:r>
              <w:rPr>
                <w:b w:val="false"/>
                <w:bCs w:val="false"/>
                <w:sz w:val="19"/>
                <w:szCs w:val="19"/>
              </w:rPr>
              <w:t xml:space="preserve">Emergency response automation</w:t>
            </w:r>
          </w:p>
        </w:tc>
        <w:tc>
          <w:tcPr>
            <w:tcW w:type="dxa" w:w="3200"/>
            <w:shd w:fill="FFF3CD" w:color="auto" w:val="clear"/>
            <w:tcMar>
              <w:top w:type="dxa" w:w="80"/>
              <w:left w:type="dxa" w:w="100"/>
              <w:bottom w:type="dxa" w:w="80"/>
              <w:right w:type="dxa" w:w="100"/>
            </w:tcMar>
            <w:vAlign w:val="center"/>
          </w:tcPr>
          <w:p>
            <w:pPr>
              <w:spacing w:after="0"/>
            </w:pPr>
            <w:r>
              <w:rPr>
                <w:b w:val="false"/>
                <w:bCs w:val="false"/>
                <w:sz w:val="19"/>
                <w:szCs w:val="19"/>
              </w:rPr>
              <w:t xml:space="preserve">Human-in-the-loop approval only; no drafted artifacts</w:t>
            </w:r>
          </w:p>
        </w:tc>
        <w:tc>
          <w:tcPr>
            <w:tcW w:type="dxa" w:w="3400"/>
            <w:shd w:fill="FFF3CD" w:color="auto" w:val="clear"/>
            <w:tcMar>
              <w:top w:type="dxa" w:w="80"/>
              <w:left w:type="dxa" w:w="100"/>
              <w:bottom w:type="dxa" w:w="80"/>
              <w:right w:type="dxa" w:w="100"/>
            </w:tcMar>
            <w:vAlign w:val="center"/>
          </w:tcPr>
          <w:p>
            <w:pPr>
              <w:spacing w:after="0"/>
            </w:pPr>
            <w:r>
              <w:rPr>
                <w:b w:val="false"/>
                <w:bCs w:val="false"/>
                <w:sz w:val="19"/>
                <w:szCs w:val="19"/>
              </w:rPr>
              <w:t xml:space="preserve">Agent-drafted evacuation/alert/report package, still gated by existing approval chain</w:t>
            </w:r>
          </w:p>
        </w:tc>
        <w:tc>
          <w:tcPr>
            <w:tcW w:type="dxa" w:w="800"/>
            <w:shd w:fill="FFF3CD" w:color="auto" w:val="clear"/>
            <w:tcMar>
              <w:top w:type="dxa" w:w="80"/>
              <w:left w:type="dxa" w:w="100"/>
              <w:bottom w:type="dxa" w:w="80"/>
              <w:right w:type="dxa" w:w="100"/>
            </w:tcMar>
            <w:vAlign w:val="center"/>
          </w:tcPr>
          <w:p>
            <w:pPr>
              <w:spacing w:after="0"/>
            </w:pPr>
            <w:r>
              <w:rPr>
                <w:b w:val="false"/>
                <w:bCs w:val="false"/>
                <w:sz w:val="19"/>
                <w:szCs w:val="19"/>
              </w:rPr>
              <w:t xml:space="preserve">P1</w:t>
            </w:r>
          </w:p>
        </w:tc>
      </w:tr>
      <w:tr>
        <w:tc>
          <w:tcPr>
            <w:tcW w:type="dxa" w:w="500"/>
            <w:shd w:fill="FFF3CD" w:color="auto" w:val="clear"/>
            <w:tcMar>
              <w:top w:type="dxa" w:w="80"/>
              <w:left w:type="dxa" w:w="100"/>
              <w:bottom w:type="dxa" w:w="80"/>
              <w:right w:type="dxa" w:w="100"/>
            </w:tcMar>
            <w:vAlign w:val="center"/>
          </w:tcPr>
          <w:p>
            <w:pPr>
              <w:spacing w:after="0"/>
            </w:pPr>
            <w:r>
              <w:rPr>
                <w:b w:val="false"/>
                <w:bCs w:val="false"/>
                <w:sz w:val="19"/>
                <w:szCs w:val="19"/>
              </w:rPr>
              <w:t xml:space="preserve">G6</w:t>
            </w:r>
          </w:p>
        </w:tc>
        <w:tc>
          <w:tcPr>
            <w:tcW w:type="dxa" w:w="1900"/>
            <w:shd w:fill="FFF3CD" w:color="auto" w:val="clear"/>
            <w:tcMar>
              <w:top w:type="dxa" w:w="80"/>
              <w:left w:type="dxa" w:w="100"/>
              <w:bottom w:type="dxa" w:w="80"/>
              <w:right w:type="dxa" w:w="100"/>
            </w:tcMar>
            <w:vAlign w:val="center"/>
          </w:tcPr>
          <w:p>
            <w:pPr>
              <w:spacing w:after="0"/>
            </w:pPr>
            <w:r>
              <w:rPr>
                <w:b w:val="false"/>
                <w:bCs w:val="false"/>
                <w:sz w:val="19"/>
                <w:szCs w:val="19"/>
              </w:rPr>
              <w:t xml:space="preserve">Barrier health</w:t>
            </w:r>
          </w:p>
        </w:tc>
        <w:tc>
          <w:tcPr>
            <w:tcW w:type="dxa" w:w="3200"/>
            <w:shd w:fill="FFF3CD" w:color="auto" w:val="clear"/>
            <w:tcMar>
              <w:top w:type="dxa" w:w="80"/>
              <w:left w:type="dxa" w:w="100"/>
              <w:bottom w:type="dxa" w:w="80"/>
              <w:right w:type="dxa" w:w="100"/>
            </w:tcMar>
            <w:vAlign w:val="center"/>
          </w:tcPr>
          <w:p>
            <w:pPr>
              <w:spacing w:after="0"/>
            </w:pPr>
            <w:r>
              <w:rPr>
                <w:b w:val="false"/>
                <w:bCs w:val="false"/>
                <w:sz w:val="19"/>
                <w:szCs w:val="19"/>
              </w:rPr>
              <w:t xml:space="preserve">Binary status event type</w:t>
            </w:r>
          </w:p>
        </w:tc>
        <w:tc>
          <w:tcPr>
            <w:tcW w:type="dxa" w:w="3400"/>
            <w:shd w:fill="FFF3CD" w:color="auto" w:val="clear"/>
            <w:tcMar>
              <w:top w:type="dxa" w:w="80"/>
              <w:left w:type="dxa" w:w="100"/>
              <w:bottom w:type="dxa" w:w="80"/>
              <w:right w:type="dxa" w:w="100"/>
            </w:tcMar>
            <w:vAlign w:val="center"/>
          </w:tcPr>
          <w:p>
            <w:pPr>
              <w:spacing w:after="0"/>
            </w:pPr>
            <w:r>
              <w:rPr>
                <w:b w:val="false"/>
                <w:bCs w:val="false"/>
                <w:sz w:val="19"/>
                <w:szCs w:val="19"/>
              </w:rPr>
              <w:t xml:space="preserve">Live health/degradation state (bypass, proof-test age, demand count)</w:t>
            </w:r>
          </w:p>
        </w:tc>
        <w:tc>
          <w:tcPr>
            <w:tcW w:type="dxa" w:w="800"/>
            <w:shd w:fill="FFF3CD" w:color="auto" w:val="clear"/>
            <w:tcMar>
              <w:top w:type="dxa" w:w="80"/>
              <w:left w:type="dxa" w:w="100"/>
              <w:bottom w:type="dxa" w:w="80"/>
              <w:right w:type="dxa" w:w="100"/>
            </w:tcMar>
            <w:vAlign w:val="center"/>
          </w:tcPr>
          <w:p>
            <w:pPr>
              <w:spacing w:after="0"/>
            </w:pPr>
            <w:r>
              <w:rPr>
                <w:b w:val="false"/>
                <w:bCs w:val="false"/>
                <w:sz w:val="19"/>
                <w:szCs w:val="19"/>
              </w:rPr>
              <w:t xml:space="preserve">P1</w:t>
            </w:r>
          </w:p>
        </w:tc>
      </w:tr>
      <w:tr>
        <w:tc>
          <w:tcPr>
            <w:tcW w:type="dxa" w:w="500"/>
            <w:shd w:fill="D9EAD3" w:color="auto" w:val="clear"/>
            <w:tcMar>
              <w:top w:type="dxa" w:w="80"/>
              <w:left w:type="dxa" w:w="100"/>
              <w:bottom w:type="dxa" w:w="80"/>
              <w:right w:type="dxa" w:w="100"/>
            </w:tcMar>
            <w:vAlign w:val="center"/>
          </w:tcPr>
          <w:p>
            <w:pPr>
              <w:spacing w:after="0"/>
            </w:pPr>
            <w:r>
              <w:rPr>
                <w:b w:val="false"/>
                <w:bCs w:val="false"/>
                <w:sz w:val="19"/>
                <w:szCs w:val="19"/>
              </w:rPr>
              <w:t xml:space="preserve">G7</w:t>
            </w:r>
          </w:p>
        </w:tc>
        <w:tc>
          <w:tcPr>
            <w:tcW w:type="dxa" w:w="1900"/>
            <w:shd w:fill="D9EAD3" w:color="auto" w:val="clear"/>
            <w:tcMar>
              <w:top w:type="dxa" w:w="80"/>
              <w:left w:type="dxa" w:w="100"/>
              <w:bottom w:type="dxa" w:w="80"/>
              <w:right w:type="dxa" w:w="100"/>
            </w:tcMar>
            <w:vAlign w:val="center"/>
          </w:tcPr>
          <w:p>
            <w:pPr>
              <w:spacing w:after="0"/>
            </w:pPr>
            <w:r>
              <w:rPr>
                <w:b w:val="false"/>
                <w:bCs w:val="false"/>
                <w:sz w:val="19"/>
                <w:szCs w:val="19"/>
              </w:rPr>
              <w:t xml:space="preserve">Continuous compliance</w:t>
            </w:r>
          </w:p>
        </w:tc>
        <w:tc>
          <w:tcPr>
            <w:tcW w:type="dxa" w:w="3200"/>
            <w:shd w:fill="D9EAD3" w:color="auto" w:val="clear"/>
            <w:tcMar>
              <w:top w:type="dxa" w:w="80"/>
              <w:left w:type="dxa" w:w="100"/>
              <w:bottom w:type="dxa" w:w="80"/>
              <w:right w:type="dxa" w:w="100"/>
            </w:tcMar>
            <w:vAlign w:val="center"/>
          </w:tcPr>
          <w:p>
            <w:pPr>
              <w:spacing w:after="0"/>
            </w:pPr>
            <w:r>
              <w:rPr>
                <w:b w:val="false"/>
                <w:bCs w:val="false"/>
                <w:sz w:val="19"/>
                <w:szCs w:val="19"/>
              </w:rPr>
              <w:t xml:space="preserve">On-demand, per-recommendation verification</w:t>
            </w:r>
          </w:p>
        </w:tc>
        <w:tc>
          <w:tcPr>
            <w:tcW w:type="dxa" w:w="3400"/>
            <w:shd w:fill="D9EAD3" w:color="auto" w:val="clear"/>
            <w:tcMar>
              <w:top w:type="dxa" w:w="80"/>
              <w:left w:type="dxa" w:w="100"/>
              <w:bottom w:type="dxa" w:w="80"/>
              <w:right w:type="dxa" w:w="100"/>
            </w:tcMar>
            <w:vAlign w:val="center"/>
          </w:tcPr>
          <w:p>
            <w:pPr>
              <w:spacing w:after="0"/>
            </w:pPr>
            <w:r>
              <w:rPr>
                <w:b w:val="false"/>
                <w:bCs w:val="false"/>
                <w:sz w:val="19"/>
                <w:szCs w:val="19"/>
              </w:rPr>
              <w:t xml:space="preserve">Continuous background compliance scorecard against plant state</w:t>
            </w:r>
          </w:p>
        </w:tc>
        <w:tc>
          <w:tcPr>
            <w:tcW w:type="dxa" w:w="800"/>
            <w:shd w:fill="D9EAD3" w:color="auto" w:val="clear"/>
            <w:tcMar>
              <w:top w:type="dxa" w:w="80"/>
              <w:left w:type="dxa" w:w="100"/>
              <w:bottom w:type="dxa" w:w="80"/>
              <w:right w:type="dxa" w:w="100"/>
            </w:tcMar>
            <w:vAlign w:val="center"/>
          </w:tcPr>
          <w:p>
            <w:pPr>
              <w:spacing w:after="0"/>
            </w:pPr>
            <w:r>
              <w:rPr>
                <w:b w:val="false"/>
                <w:bCs w:val="false"/>
                <w:sz w:val="19"/>
                <w:szCs w:val="19"/>
              </w:rPr>
              <w:t xml:space="preserve">P2</w:t>
            </w:r>
          </w:p>
        </w:tc>
      </w:tr>
      <w:tr>
        <w:tc>
          <w:tcPr>
            <w:tcW w:type="dxa" w:w="500"/>
            <w:shd w:fill="D9EAD3" w:color="auto" w:val="clear"/>
            <w:tcMar>
              <w:top w:type="dxa" w:w="80"/>
              <w:left w:type="dxa" w:w="100"/>
              <w:bottom w:type="dxa" w:w="80"/>
              <w:right w:type="dxa" w:w="100"/>
            </w:tcMar>
            <w:vAlign w:val="center"/>
          </w:tcPr>
          <w:p>
            <w:pPr>
              <w:spacing w:after="0"/>
            </w:pPr>
            <w:r>
              <w:rPr>
                <w:b w:val="false"/>
                <w:bCs w:val="false"/>
                <w:sz w:val="19"/>
                <w:szCs w:val="19"/>
              </w:rPr>
              <w:t xml:space="preserve">G8</w:t>
            </w:r>
          </w:p>
        </w:tc>
        <w:tc>
          <w:tcPr>
            <w:tcW w:type="dxa" w:w="1900"/>
            <w:shd w:fill="D9EAD3" w:color="auto" w:val="clear"/>
            <w:tcMar>
              <w:top w:type="dxa" w:w="80"/>
              <w:left w:type="dxa" w:w="100"/>
              <w:bottom w:type="dxa" w:w="80"/>
              <w:right w:type="dxa" w:w="100"/>
            </w:tcMar>
            <w:vAlign w:val="center"/>
          </w:tcPr>
          <w:p>
            <w:pPr>
              <w:spacing w:after="0"/>
            </w:pPr>
            <w:r>
              <w:rPr>
                <w:b w:val="false"/>
                <w:bCs w:val="false"/>
                <w:sz w:val="19"/>
                <w:szCs w:val="19"/>
              </w:rPr>
              <w:t xml:space="preserve">Vision pipeline</w:t>
            </w:r>
          </w:p>
        </w:tc>
        <w:tc>
          <w:tcPr>
            <w:tcW w:type="dxa" w:w="3200"/>
            <w:shd w:fill="D9EAD3" w:color="auto" w:val="clear"/>
            <w:tcMar>
              <w:top w:type="dxa" w:w="80"/>
              <w:left w:type="dxa" w:w="100"/>
              <w:bottom w:type="dxa" w:w="80"/>
              <w:right w:type="dxa" w:w="100"/>
            </w:tcMar>
            <w:vAlign w:val="center"/>
          </w:tcPr>
          <w:p>
            <w:pPr>
              <w:spacing w:after="0"/>
            </w:pPr>
            <w:r>
              <w:rPr>
                <w:b w:val="false"/>
                <w:bCs w:val="false"/>
                <w:sz w:val="19"/>
                <w:szCs w:val="19"/>
              </w:rPr>
              <w:t xml:space="preserve">YOLOv8/ByteTrack stubbed, non-functional</w:t>
            </w:r>
          </w:p>
        </w:tc>
        <w:tc>
          <w:tcPr>
            <w:tcW w:type="dxa" w:w="3400"/>
            <w:shd w:fill="D9EAD3" w:color="auto" w:val="clear"/>
            <w:tcMar>
              <w:top w:type="dxa" w:w="80"/>
              <w:left w:type="dxa" w:w="100"/>
              <w:bottom w:type="dxa" w:w="80"/>
              <w:right w:type="dxa" w:w="100"/>
            </w:tcMar>
            <w:vAlign w:val="center"/>
          </w:tcPr>
          <w:p>
            <w:pPr>
              <w:spacing w:after="0"/>
            </w:pPr>
            <w:r>
              <w:rPr>
                <w:b w:val="false"/>
                <w:bCs w:val="false"/>
                <w:sz w:val="19"/>
                <w:szCs w:val="19"/>
              </w:rPr>
              <w:t xml:space="preserve">CPU-feasible working path, or explicit roadmap framing</w:t>
            </w:r>
          </w:p>
        </w:tc>
        <w:tc>
          <w:tcPr>
            <w:tcW w:type="dxa" w:w="800"/>
            <w:shd w:fill="D9EAD3" w:color="auto" w:val="clear"/>
            <w:tcMar>
              <w:top w:type="dxa" w:w="80"/>
              <w:left w:type="dxa" w:w="100"/>
              <w:bottom w:type="dxa" w:w="80"/>
              <w:right w:type="dxa" w:w="100"/>
            </w:tcMar>
            <w:vAlign w:val="center"/>
          </w:tcPr>
          <w:p>
            <w:pPr>
              <w:spacing w:after="0"/>
            </w:pPr>
            <w:r>
              <w:rPr>
                <w:b w:val="false"/>
                <w:bCs w:val="false"/>
                <w:sz w:val="19"/>
                <w:szCs w:val="19"/>
              </w:rPr>
              <w:t xml:space="preserve">P2</w:t>
            </w:r>
          </w:p>
        </w:tc>
      </w:tr>
      <w:tr>
        <w:tc>
          <w:tcPr>
            <w:tcW w:type="dxa" w:w="500"/>
            <w:shd w:fill="D9EAD3" w:color="auto" w:val="clear"/>
            <w:tcMar>
              <w:top w:type="dxa" w:w="80"/>
              <w:left w:type="dxa" w:w="100"/>
              <w:bottom w:type="dxa" w:w="80"/>
              <w:right w:type="dxa" w:w="100"/>
            </w:tcMar>
            <w:vAlign w:val="center"/>
          </w:tcPr>
          <w:p>
            <w:pPr>
              <w:spacing w:after="0"/>
            </w:pPr>
            <w:r>
              <w:rPr>
                <w:b w:val="false"/>
                <w:bCs w:val="false"/>
                <w:sz w:val="19"/>
                <w:szCs w:val="19"/>
              </w:rPr>
              <w:t xml:space="preserve">G9</w:t>
            </w:r>
          </w:p>
        </w:tc>
        <w:tc>
          <w:tcPr>
            <w:tcW w:type="dxa" w:w="1900"/>
            <w:shd w:fill="D9EAD3" w:color="auto" w:val="clear"/>
            <w:tcMar>
              <w:top w:type="dxa" w:w="80"/>
              <w:left w:type="dxa" w:w="100"/>
              <w:bottom w:type="dxa" w:w="80"/>
              <w:right w:type="dxa" w:w="100"/>
            </w:tcMar>
            <w:vAlign w:val="center"/>
          </w:tcPr>
          <w:p>
            <w:pPr>
              <w:spacing w:after="0"/>
            </w:pPr>
            <w:r>
              <w:rPr>
                <w:b w:val="false"/>
                <w:bCs w:val="false"/>
                <w:sz w:val="19"/>
                <w:szCs w:val="19"/>
              </w:rPr>
              <w:t xml:space="preserve">Forecasting</w:t>
            </w:r>
          </w:p>
        </w:tc>
        <w:tc>
          <w:tcPr>
            <w:tcW w:type="dxa" w:w="3200"/>
            <w:shd w:fill="D9EAD3" w:color="auto" w:val="clear"/>
            <w:tcMar>
              <w:top w:type="dxa" w:w="80"/>
              <w:left w:type="dxa" w:w="100"/>
              <w:bottom w:type="dxa" w:w="80"/>
              <w:right w:type="dxa" w:w="100"/>
            </w:tcMar>
            <w:vAlign w:val="center"/>
          </w:tcPr>
          <w:p>
            <w:pPr>
              <w:spacing w:after="0"/>
            </w:pPr>
            <w:r>
              <w:rPr>
                <w:b w:val="false"/>
                <w:bCs w:val="false"/>
                <w:sz w:val="19"/>
                <w:szCs w:val="19"/>
              </w:rPr>
              <w:t xml:space="preserve">Not implemented (documented as future work)</w:t>
            </w:r>
          </w:p>
        </w:tc>
        <w:tc>
          <w:tcPr>
            <w:tcW w:type="dxa" w:w="3400"/>
            <w:shd w:fill="D9EAD3" w:color="auto" w:val="clear"/>
            <w:tcMar>
              <w:top w:type="dxa" w:w="80"/>
              <w:left w:type="dxa" w:w="100"/>
              <w:bottom w:type="dxa" w:w="80"/>
              <w:right w:type="dxa" w:w="100"/>
            </w:tcMar>
            <w:vAlign w:val="center"/>
          </w:tcPr>
          <w:p>
            <w:pPr>
              <w:spacing w:after="0"/>
            </w:pPr>
            <w:r>
              <w:rPr>
                <w:b w:val="false"/>
                <w:bCs w:val="false"/>
                <w:sz w:val="19"/>
                <w:szCs w:val="19"/>
              </w:rPr>
              <w:t xml:space="preserve">Minimal Prophet/SARIMA feeding predicted [P] events, unchanged pipeline</w:t>
            </w:r>
          </w:p>
        </w:tc>
        <w:tc>
          <w:tcPr>
            <w:tcW w:type="dxa" w:w="800"/>
            <w:shd w:fill="D9EAD3" w:color="auto" w:val="clear"/>
            <w:tcMar>
              <w:top w:type="dxa" w:w="80"/>
              <w:left w:type="dxa" w:w="100"/>
              <w:bottom w:type="dxa" w:w="80"/>
              <w:right w:type="dxa" w:w="100"/>
            </w:tcMar>
            <w:vAlign w:val="center"/>
          </w:tcPr>
          <w:p>
            <w:pPr>
              <w:spacing w:after="0"/>
            </w:pPr>
            <w:r>
              <w:rPr>
                <w:b w:val="false"/>
                <w:bCs w:val="false"/>
                <w:sz w:val="19"/>
                <w:szCs w:val="19"/>
              </w:rPr>
              <w:t xml:space="preserve">P2</w:t>
            </w:r>
          </w:p>
        </w:tc>
      </w:tr>
    </w:tbl>
    <w:p>
      <w:pPr>
        <w:spacing w:after="60" w:before="200"/>
      </w:pPr>
      <w:r>
        <w:rPr>
          <w:b/>
          <w:bCs/>
          <w:sz w:val="21"/>
          <w:szCs w:val="21"/>
        </w:rPr>
        <w:t xml:space="preserve">P0</w:t>
      </w:r>
      <w:r>
        <w:rPr>
          <w:sz w:val="21"/>
          <w:szCs w:val="21"/>
        </w:rPr>
        <w:t xml:space="preserve"> = must-fix before pitch; directly closes a named deliverable gap or a credibility risk under expert questioning.</w:t>
      </w:r>
    </w:p>
    <w:p>
      <w:pPr>
        <w:spacing w:after="60"/>
      </w:pPr>
      <w:r>
        <w:rPr>
          <w:b/>
          <w:bCs/>
          <w:sz w:val="21"/>
          <w:szCs w:val="21"/>
        </w:rPr>
        <w:t xml:space="preserve">P1</w:t>
      </w:r>
      <w:r>
        <w:rPr>
          <w:sz w:val="21"/>
          <w:szCs w:val="21"/>
        </w:rPr>
        <w:t xml:space="preserve"> = strongly recommended; high leverage relative to effort.</w:t>
      </w:r>
    </w:p>
    <w:p>
      <w:pPr>
        <w:spacing w:after="200"/>
      </w:pPr>
      <w:r>
        <w:rPr>
          <w:b/>
          <w:bCs/>
          <w:sz w:val="21"/>
          <w:szCs w:val="21"/>
        </w:rPr>
        <w:t xml:space="preserve">P2</w:t>
      </w:r>
      <w:r>
        <w:rPr>
          <w:sz w:val="21"/>
          <w:szCs w:val="21"/>
        </w:rPr>
        <w:t xml:space="preserve"> = stretch goal; defensible to leave as future work if time runs out.</w:t>
      </w:r>
    </w:p>
    <w:p>
      <w:pPr>
        <w:pStyle w:val="Heading1"/>
        <w:spacing w:after="240" w:before="480"/>
      </w:pPr>
      <w:r>
        <w:rPr>
          <w:b/>
          <w:bCs/>
          <w:color w:val="1F3864"/>
        </w:rPr>
        <w:t xml:space="preserve">3. G1 — Formal Risk Model: Hypergraph → Bow-Tie / LOPA Conformance</w:t>
      </w:r>
    </w:p>
    <w:p>
      <w:pPr>
        <w:pStyle w:val="Heading2"/>
        <w:spacing w:after="180" w:before="360"/>
      </w:pPr>
      <w:r>
        <w:rPr>
          <w:b/>
          <w:bCs/>
          <w:color w:val="2E5395"/>
        </w:rPr>
        <w:t xml:space="preserve">3.1 Current State</w:t>
      </w:r>
    </w:p>
    <w:p>
      <w:pPr>
        <w:spacing w:after="160"/>
      </w:pPr>
      <w:r>
        <w:rPr>
          <w:sz w:val="21"/>
          <w:szCs w:val="21"/>
        </w:rPr>
        <w:t xml:space="preserve">The SafetyHypergraph (NetworkX MultiDiGraph) models ZONE, SENSOR, WORKER, EQUIPMENT, BARRIER, PERMIT nodes with edges in_zone, monitors, applies_to, protects, adjacent, held_by. The CompoundRuleEngine (Stage 7) evaluates fixed predicate combinations — rising_gas(), active_permit(), worker_missing_ppe(), ventilation_degraded(), barrier_down(), equipment_failing() — against this graph to activate compound hyperedges, which PathExtractor (Stage 8) decomposes into AccidentPath objects.</w:t>
      </w:r>
    </w:p>
    <w:p>
      <w:pPr>
        <w:spacing w:after="160"/>
      </w:pPr>
      <w:r>
        <w:rPr>
          <w:sz w:val="21"/>
          <w:szCs w:val="21"/>
        </w:rPr>
        <w:t xml:space="preserve">This is structurally a bow-tie diagram — it has causes (threats), consequences, and barriers — but it is not named, documented, or exposed as one anywhere in the architecture, the API, or the dashboard. This has three concrete costs:</w:t>
      </w:r>
    </w:p>
    <w:p>
      <w:pPr>
        <w:pStyle w:val="ListParagraph"/>
        <w:numPr>
          <w:ilvl w:val="0"/>
          <w:numId w:val="2"/>
        </w:numPr>
        <w:spacing w:after="100"/>
      </w:pPr>
      <w:r>
        <w:rPr>
          <w:sz w:val="21"/>
          <w:szCs w:val="21"/>
        </w:rPr>
        <w:t xml:space="preserve">Judges and domain experts will not recognize the contribution. Bow-tie/LOPA is the terminology every process-safety engineer, DGMS/OISD auditor, and industrial judge on an evaluation panel will use to assess “regulatory compliance coverage” (an explicit evaluation criterion). A system that reinvents the formalism without naming it reads as unaware of the domain standard, or as if it is hiding a weaker ad hoc model behind different words.</w:t>
      </w:r>
    </w:p>
    <w:p>
      <w:pPr>
        <w:pStyle w:val="ListParagraph"/>
        <w:numPr>
          <w:ilvl w:val="0"/>
          <w:numId w:val="2"/>
        </w:numPr>
        <w:spacing w:after="100"/>
      </w:pPr>
      <w:r>
        <w:rPr>
          <w:sz w:val="21"/>
          <w:szCs w:val="21"/>
        </w:rPr>
        <w:t xml:space="preserve">No traceability to PHA source documents. Real bow-ties are derived from HAZOP/HAZID studies and are auditable back to those studies. CompoundRuleEngine rules (HE-042, HE-TOXIC-EXPOSURE, etc.) currently have no declared provenance — no field indicates which HAZOP worksheet, historical incident, or OISD clause each rule encodes.</w:t>
      </w:r>
    </w:p>
    <w:p>
      <w:pPr>
        <w:pStyle w:val="ListParagraph"/>
        <w:numPr>
          <w:ilvl w:val="0"/>
          <w:numId w:val="2"/>
        </w:numPr>
        <w:spacing w:after="100"/>
      </w:pPr>
      <w:r>
        <w:rPr>
          <w:sz w:val="21"/>
          <w:szCs w:val="21"/>
        </w:rPr>
        <w:t xml:space="preserve">No distinction between preventive and mitigative barriers. Bow-tie formalism requires classifying each barrier as preventive (stops the top event) or mitigative (limits consequences after it occurs). CandidateIntervention objects are currently undifferentiated — the optimizer treats “prevent the fire” and “evacuate after it starts” as the same kind of action, which is both formally wrong and operationally dangerous to conflate in a real recommendation.</w:t>
      </w:r>
    </w:p>
    <w:p>
      <w:pPr>
        <w:pStyle w:val="Heading2"/>
        <w:spacing w:after="180" w:before="360"/>
      </w:pPr>
      <w:r>
        <w:rPr>
          <w:b/>
          <w:bCs/>
          <w:color w:val="2E5395"/>
        </w:rPr>
        <w:t xml:space="preserve">3.2 Goal State</w:t>
      </w:r>
    </w:p>
    <w:p>
      <w:pPr>
        <w:spacing w:after="160"/>
      </w:pPr>
      <w:r>
        <w:rPr>
          <w:sz w:val="21"/>
          <w:szCs w:val="21"/>
        </w:rPr>
        <w:t xml:space="preserve">Every CompoundRule is reframed and re-documented as a Bow-Tie Definition:</w:t>
      </w:r>
    </w:p>
    <w:p>
      <w:pPr>
        <w:pBdr>
          <w:top w:val="single" w:color="CCCCCC" w:sz="4"/>
          <w:bottom w:val="single" w:color="CCCCCC" w:sz="4"/>
          <w:left w:val="single" w:color="CCCCCC" w:sz="4"/>
          <w:right w:val="single" w:color="CCCCCC" w:sz="4"/>
        </w:pBdr>
        <w:shd w:fill="F5F5F5" w:color="auto" w:val="clear"/>
        <w:spacing w:after="200" w:before="120"/>
      </w:pPr>
      <w:r>
        <w:rPr>
          <w:rFonts w:ascii="Consolas" w:cs="Consolas" w:eastAsia="Consolas" w:hAnsi="Consolas"/>
          <w:sz w:val="18"/>
          <w:szCs w:val="18"/>
        </w:rPr>
        <w:t xml:space="preserve">BowTie {</w:t>
      </w:r>
      <w:r>
        <w:rPr>
          <w:rFonts w:ascii="Consolas" w:cs="Consolas" w:eastAsia="Consolas" w:hAnsi="Consolas"/>
          <w:sz w:val="18"/>
          <w:szCs w:val="18"/>
        </w:rPr>
        <w:br/>
        <w:t xml:space="preserve">  hazard_id: str                       # e.g. "coke-oven-flash-fire"</w:t>
      </w:r>
      <w:r>
        <w:rPr>
          <w:rFonts w:ascii="Consolas" w:cs="Consolas" w:eastAsia="Consolas" w:hAnsi="Consolas"/>
          <w:sz w:val="18"/>
          <w:szCs w:val="18"/>
        </w:rPr>
        <w:br/>
        <w:t xml:space="preserve">  top_event: str                       # loss-of-control event</w:t>
      </w:r>
      <w:r>
        <w:rPr>
          <w:rFonts w:ascii="Consolas" w:cs="Consolas" w:eastAsia="Consolas" w:hAnsi="Consolas"/>
          <w:sz w:val="18"/>
          <w:szCs w:val="18"/>
        </w:rPr>
        <w:br/>
        <w:t xml:space="preserve">  threats: List[ThreatNode]            # causal preconditions (existing predicates)</w:t>
      </w:r>
      <w:r>
        <w:rPr>
          <w:rFonts w:ascii="Consolas" w:cs="Consolas" w:eastAsia="Consolas" w:hAnsi="Consolas"/>
          <w:sz w:val="18"/>
          <w:szCs w:val="18"/>
        </w:rPr>
        <w:br/>
        <w:t xml:space="preserve">  preventive_barriers: List[Barrier]   # stop threat -&gt; top event</w:t>
      </w:r>
      <w:r>
        <w:rPr>
          <w:rFonts w:ascii="Consolas" w:cs="Consolas" w:eastAsia="Consolas" w:hAnsi="Consolas"/>
          <w:sz w:val="18"/>
          <w:szCs w:val="18"/>
        </w:rPr>
        <w:br/>
        <w:t xml:space="preserve">  mitigative_barriers: List[Barrier]   # limit top event -&gt; consequence</w:t>
      </w:r>
      <w:r>
        <w:rPr>
          <w:rFonts w:ascii="Consolas" w:cs="Consolas" w:eastAsia="Consolas" w:hAnsi="Consolas"/>
          <w:sz w:val="18"/>
          <w:szCs w:val="18"/>
        </w:rPr>
        <w:br/>
        <w:t xml:space="preserve">  consequences: List[ConsequenceNode]</w:t>
      </w:r>
      <w:r>
        <w:rPr>
          <w:rFonts w:ascii="Consolas" w:cs="Consolas" w:eastAsia="Consolas" w:hAnsi="Consolas"/>
          <w:sz w:val="18"/>
          <w:szCs w:val="18"/>
        </w:rPr>
        <w:br/>
        <w:t xml:space="preserve">  source_reference: str                # HAZOP worksheet / OISD clause / incident ID</w:t>
      </w:r>
      <w:r>
        <w:rPr>
          <w:rFonts w:ascii="Consolas" w:cs="Consolas" w:eastAsia="Consolas" w:hAnsi="Consolas"/>
          <w:sz w:val="18"/>
          <w:szCs w:val="18"/>
        </w:rPr>
        <w:br/>
        <w:t xml:space="preserve">}</w:t>
      </w:r>
    </w:p>
    <w:p>
      <w:pPr>
        <w:spacing w:after="160"/>
      </w:pPr>
      <w:r>
        <w:rPr>
          <w:sz w:val="21"/>
          <w:szCs w:val="21"/>
        </w:rPr>
        <w:t xml:space="preserve">CandidateIntervention gains a barrier_role: Literal["preventive", "mitigative"] field. This is not a cosmetic rename — it changes the CP-SAT objective function (Section 5), because a minimum-cost cut that only selects mitigative barriers while threats remain active is a materially worse recommendation than one that closes preventive barriers first, and the current formulation cannot distinguish these cases.</w:t>
      </w:r>
    </w:p>
    <w:p>
      <w:pPr>
        <w:spacing w:after="160"/>
      </w:pPr>
      <w:r>
        <w:rPr>
          <w:sz w:val="21"/>
          <w:szCs w:val="21"/>
        </w:rPr>
        <w:t xml:space="preserve">The existing five compound rules (HE-042, HE-TOXIC-EXPOSURE, HE-GAS-ACCUMULATION, HE-IGNITION, HE-MECHANICAL) map directly onto five bow-ties with no loss of existing logic — this is a re-labeling plus one new required field per rule (source_reference), not a rewrite.</w:t>
      </w:r>
    </w:p>
    <w:p>
      <w:pPr>
        <w:pStyle w:val="Heading2"/>
        <w:spacing w:after="180" w:before="360"/>
      </w:pPr>
      <w:r>
        <w:rPr>
          <w:b/>
          <w:bCs/>
          <w:color w:val="2E5395"/>
        </w:rPr>
        <w:t xml:space="preserve">3.3 Change Required</w:t>
      </w:r>
    </w:p>
    <w:tbl>
      <w:tblPr>
        <w:tblW w:type="dxa" w:w="6800"/>
        <w:tblBorders>
          <w:top w:val="single" w:color="B7C3D9" w:sz="4"/>
          <w:left w:val="single" w:color="B7C3D9" w:sz="4"/>
          <w:bottom w:val="single" w:color="B7C3D9" w:sz="4"/>
          <w:right w:val="single" w:color="B7C3D9" w:sz="4"/>
          <w:insideH w:val="single" w:color="B7C3D9" w:sz="2"/>
          <w:insideV w:val="single" w:color="B7C3D9" w:sz="2"/>
        </w:tblBorders>
      </w:tblPr>
      <w:tblGrid>
        <w:gridCol w:w="2200"/>
        <w:gridCol w:w="4600"/>
      </w:tblGrid>
      <w:tr>
        <w:trPr>
          <w:tblHeader/>
        </w:trPr>
        <w:tc>
          <w:tcPr>
            <w:tcW w:type="dxa" w:w="2200"/>
            <w:shd w:fill="1F3864" w:color="auto" w:val="clear"/>
            <w:tcMar>
              <w:top w:type="dxa" w:w="80"/>
              <w:left w:type="dxa" w:w="100"/>
              <w:bottom w:type="dxa" w:w="80"/>
              <w:right w:type="dxa" w:w="100"/>
            </w:tcMar>
            <w:vAlign w:val="center"/>
          </w:tcPr>
          <w:p>
            <w:pPr>
              <w:spacing w:after="0"/>
            </w:pPr>
            <w:r>
              <w:rPr>
                <w:b/>
                <w:bCs/>
                <w:color w:val="FFFFFF"/>
                <w:sz w:val="19"/>
                <w:szCs w:val="19"/>
              </w:rPr>
              <w:t xml:space="preserve">Component</w:t>
            </w:r>
          </w:p>
        </w:tc>
        <w:tc>
          <w:tcPr>
            <w:tcW w:type="dxa" w:w="4600"/>
            <w:shd w:fill="1F3864" w:color="auto" w:val="clear"/>
            <w:tcMar>
              <w:top w:type="dxa" w:w="80"/>
              <w:left w:type="dxa" w:w="100"/>
              <w:bottom w:type="dxa" w:w="80"/>
              <w:right w:type="dxa" w:w="100"/>
            </w:tcMar>
            <w:vAlign w:val="center"/>
          </w:tcPr>
          <w:p>
            <w:pPr>
              <w:spacing w:after="0"/>
            </w:pPr>
            <w:r>
              <w:rPr>
                <w:b/>
                <w:bCs/>
                <w:color w:val="FFFFFF"/>
                <w:sz w:val="19"/>
                <w:szCs w:val="19"/>
              </w:rPr>
              <w:t xml:space="preserve">Change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CompoundRuleEngine</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Add source_reference and barrier_role metadata to each rule definition. No change to predicate evaluation logic.</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CandidateIntervention schema</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Add barrier_role: Literal["preventive","mitigative"]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AccidentPath</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Add top_event: str field (currently implicit in the causal subgraph, not surfaced)</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Dashboard — Risk Paths view</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Render as bow-tie layout (threats-left, top-event-center, consequences-right) as an alternative view mode alongside the existing ReactFlow causal graph, using the same AccidentPath data</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Regulatory RAG</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Link source_reference to retrievable OISD/DGMS clause text via existing /api/verify</w:t>
            </w:r>
          </w:p>
        </w:tc>
      </w:tr>
    </w:tbl>
    <w:p>
      <w:pPr>
        <w:pStyle w:val="Heading2"/>
        <w:spacing w:after="180" w:before="360"/>
      </w:pPr>
      <w:r>
        <w:rPr>
          <w:b/>
          <w:bCs/>
          <w:color w:val="2E5395"/>
        </w:rPr>
        <w:t xml:space="preserve">3.4 Effort</w:t>
      </w:r>
    </w:p>
    <w:p>
      <w:pPr>
        <w:spacing w:after="160"/>
      </w:pPr>
      <w:r>
        <w:rPr>
          <w:sz w:val="21"/>
          <w:szCs w:val="21"/>
        </w:rPr>
        <w:t xml:space="preserve">Low. This is schema extension plus a rename/relabel pass and one new dashboard view mode reusing existing ReactFlow infrastructure with a different layout algorithm (still Dagre-compatible, different orientation). No changes to NetworkX graph structure, no changes to Stage 6–11 execution logic.</w:t>
      </w:r>
    </w:p>
    <w:p>
      <w:pPr>
        <w:pStyle w:val="Heading1"/>
        <w:spacing w:after="240" w:before="480"/>
      </w:pPr>
      <w:r>
        <w:rPr>
          <w:b/>
          <w:bCs/>
          <w:color w:val="1F3864"/>
        </w:rPr>
        <w:t xml:space="preserve">4. G2 — Reasoning Architecture: Deterministic-Only → Deterministic Core + Thin Agent Layer</w:t>
      </w:r>
    </w:p>
    <w:p>
      <w:pPr>
        <w:pStyle w:val="Heading2"/>
        <w:spacing w:after="180" w:before="360"/>
      </w:pPr>
      <w:r>
        <w:rPr>
          <w:b/>
          <w:bCs/>
          <w:color w:val="2E5395"/>
        </w:rPr>
        <w:t xml:space="preserve">4.1 Current State</w:t>
      </w:r>
    </w:p>
    <w:p>
      <w:pPr>
        <w:spacing w:after="160"/>
      </w:pPr>
      <w:r>
        <w:rPr>
          <w:sz w:val="21"/>
          <w:szCs w:val="21"/>
        </w:rPr>
        <w:t xml:space="preserve">CompoundRuleEngine is a fixed set of composable predicates evaluated deterministically over the hypergraph. This is correct engineering for the safety-critical detection path — non-negotiable, and should not be replaced. However:</w:t>
      </w:r>
    </w:p>
    <w:p>
      <w:pPr>
        <w:pStyle w:val="ListParagraph"/>
        <w:numPr>
          <w:ilvl w:val="0"/>
          <w:numId w:val="2"/>
        </w:numPr>
        <w:spacing w:after="100"/>
      </w:pPr>
      <w:r>
        <w:rPr>
          <w:sz w:val="21"/>
          <w:szCs w:val="21"/>
        </w:rPr>
        <w:t xml:space="preserve">The problem statement's suggested technology list names “Agentic AI / Multi-Agent Systems” explicitly, and three of the six “what you may build” bullets (Compound Risk Detection Engine, Emergency Response Orchestrator, Quality &amp; Compliance Audit Agent) describe agentic behavior.</w:t>
      </w:r>
    </w:p>
    <w:p>
      <w:pPr>
        <w:pStyle w:val="ListParagraph"/>
        <w:numPr>
          <w:ilvl w:val="0"/>
          <w:numId w:val="2"/>
        </w:numPr>
        <w:spacing w:after="100"/>
      </w:pPr>
      <w:r>
        <w:rPr>
          <w:sz w:val="21"/>
          <w:szCs w:val="21"/>
        </w:rPr>
        <w:t xml:space="preserve">CAUSALCUT currently has exactly one agentic component: the read-only AI Assistant chat drawer (Gemini 3.1 Flash Lite), decoupled from the pipeline — it answers questions about state but does not participate in detection, response drafting, or pattern analysis.</w:t>
      </w:r>
    </w:p>
    <w:p>
      <w:pPr>
        <w:pStyle w:val="ListParagraph"/>
        <w:numPr>
          <w:ilvl w:val="0"/>
          <w:numId w:val="2"/>
        </w:numPr>
        <w:spacing w:after="100"/>
      </w:pPr>
      <w:r>
        <w:rPr>
          <w:sz w:val="21"/>
          <w:szCs w:val="21"/>
        </w:rPr>
        <w:t xml:space="preserve">This is a real architectural risk under questioning: a judge who asks “where is the multi-agent system” gets, currently, “we have a chatbot” as the honest answer.</w:t>
      </w:r>
    </w:p>
    <w:p>
      <w:pPr>
        <w:pStyle w:val="Heading2"/>
        <w:spacing w:after="180" w:before="360"/>
      </w:pPr>
      <w:r>
        <w:rPr>
          <w:b/>
          <w:bCs/>
          <w:color w:val="2E5395"/>
        </w:rPr>
        <w:t xml:space="preserve">4.2 Goal State — Design Constraint First</w:t>
      </w:r>
    </w:p>
    <w:p>
      <w:pPr>
        <w:pBdr>
          <w:left w:val="single" w:color="2E5395" w:sz="24"/>
        </w:pBdr>
        <w:shd w:fill="EEF2F8" w:color="auto" w:val="clear"/>
        <w:spacing w:after="200" w:before="160"/>
        <w:ind w:left="200"/>
      </w:pPr>
      <w:r>
        <w:rPr>
          <w:b/>
          <w:bCs/>
          <w:color w:val="1F3864"/>
          <w:sz w:val="21"/>
          <w:szCs w:val="21"/>
        </w:rPr>
        <w:t xml:space="preserve">Constraint:  </w:t>
      </w:r>
      <w:r>
        <w:rPr>
          <w:sz w:val="21"/>
          <w:szCs w:val="21"/>
        </w:rPr>
        <w:t xml:space="preserve">The deterministic core must remain deterministic. Do not replace CompoundRuleEngine, PathExtractor, or MinimumCausalCutOptimiser with LLM reasoning.</w:t>
      </w:r>
    </w:p>
    <w:p>
      <w:pPr>
        <w:spacing w:after="160"/>
      </w:pPr>
      <w:r>
        <w:rPr>
          <w:sz w:val="21"/>
          <w:szCs w:val="21"/>
        </w:rPr>
        <w:t xml:space="preserve">This would be a regression, not an improvement: CP-SAT gives a provably optimal or bounded-suboptimal solution with a certificate; an LLM agent gives a plausible-sounding one with no guarantee. The correct architecture is agents around the deterministic core, not instead of it — this is also the technically correct answer if a judge probes on why you did not “just use an LLM for everything,” which is a predictable question.</w:t>
      </w:r>
    </w:p>
    <w:p>
      <w:pPr>
        <w:spacing w:after="160"/>
      </w:pPr>
      <w:r>
        <w:rPr>
          <w:sz w:val="21"/>
          <w:szCs w:val="21"/>
        </w:rPr>
        <w:t xml:space="preserve">Three narrow, well-scoped agents, each consuming deterministic pipeline output and producing a bounded artifact:</w:t>
      </w:r>
    </w:p>
    <w:p>
      <w:pPr>
        <w:pStyle w:val="Heading3"/>
        <w:spacing w:after="140" w:before="280"/>
      </w:pPr>
      <w:r>
        <w:rPr>
          <w:b/>
          <w:bCs/>
          <w:color w:val="333333"/>
        </w:rPr>
        <w:t xml:space="preserve">Agent 1 — Response Drafting Agent (addresses “Emergency Response Orchestrator”)</w:t>
      </w:r>
    </w:p>
    <w:p>
      <w:pPr>
        <w:pStyle w:val="ListParagraph"/>
        <w:numPr>
          <w:ilvl w:val="0"/>
          <w:numId w:val="2"/>
        </w:numPr>
        <w:spacing w:after="100"/>
      </w:pPr>
      <w:r>
        <w:rPr>
          <w:sz w:val="21"/>
          <w:szCs w:val="21"/>
        </w:rPr>
        <w:t xml:space="preserve">Trigger: CutRecommendation with residual_risk above a severity threshold on a confirmed (non-degraded) accident path.</w:t>
      </w:r>
    </w:p>
    <w:p>
      <w:pPr>
        <w:pStyle w:val="ListParagraph"/>
        <w:numPr>
          <w:ilvl w:val="0"/>
          <w:numId w:val="2"/>
        </w:numPr>
        <w:spacing w:after="100"/>
      </w:pPr>
      <w:r>
        <w:rPr>
          <w:sz w:val="21"/>
          <w:szCs w:val="21"/>
        </w:rPr>
        <w:t xml:space="preserve">Input: the AccidentPath, the CutRecommendation, plant topology, and the regulatory RAG.</w:t>
      </w:r>
    </w:p>
    <w:p>
      <w:pPr>
        <w:pStyle w:val="ListParagraph"/>
        <w:numPr>
          <w:ilvl w:val="0"/>
          <w:numId w:val="2"/>
        </w:numPr>
        <w:spacing w:after="100"/>
      </w:pPr>
      <w:r>
        <w:rPr>
          <w:sz w:val="21"/>
          <w:szCs w:val="21"/>
        </w:rPr>
        <w:t xml:space="preserve">Output: a structured, non-executing draft — evacuation zone list, alert message drafts per channel (SMS/PA/dashboard banner), and a preliminary DGMS/OISD-formatted incident report skeleton pre-filled with the [M]/[P] event chain that triggered it.</w:t>
      </w:r>
    </w:p>
    <w:p>
      <w:pPr>
        <w:pBdr>
          <w:left w:val="single" w:color="2E5395" w:sz="24"/>
        </w:pBdr>
        <w:shd w:fill="EEF2F8" w:color="auto" w:val="clear"/>
        <w:spacing w:after="200" w:before="160"/>
        <w:ind w:left="200"/>
      </w:pPr>
      <w:r>
        <w:rPr>
          <w:b/>
          <w:bCs/>
          <w:color w:val="1F3864"/>
          <w:sz w:val="21"/>
          <w:szCs w:val="21"/>
        </w:rPr>
        <w:t xml:space="preserve">Constraint:  </w:t>
      </w:r>
      <w:r>
        <w:rPr>
          <w:sz w:val="21"/>
          <w:szCs w:val="21"/>
        </w:rPr>
        <w:t xml:space="preserve">the agent proposes, it does not act. All physical interventions still route through the existing JWT/HMAC role-gated approval gateway and hash-chained audit log unchanged. An autonomous agent that can trigger evacuation without human confirmation is itself a hazard (a false positive at 3 a.m. evacuates a live coke oven floor); the design choice to keep it proposal-only is a defensible, judge-legible trade-off, not a limitation to apologize for.</w:t>
      </w:r>
    </w:p>
    <w:p>
      <w:pPr>
        <w:pStyle w:val="Heading3"/>
        <w:spacing w:after="140" w:before="280"/>
      </w:pPr>
      <w:r>
        <w:rPr>
          <w:b/>
          <w:bCs/>
          <w:color w:val="333333"/>
        </w:rPr>
        <w:t xml:space="preserve">Agent 2 — Incident Pattern Agent (addresses “Incident Pattern Intelligence”)</w:t>
      </w:r>
    </w:p>
    <w:p>
      <w:pPr>
        <w:pStyle w:val="ListParagraph"/>
        <w:numPr>
          <w:ilvl w:val="0"/>
          <w:numId w:val="2"/>
        </w:numPr>
        <w:spacing w:after="100"/>
      </w:pPr>
      <w:r>
        <w:rPr>
          <w:sz w:val="21"/>
          <w:szCs w:val="21"/>
        </w:rPr>
        <w:t xml:space="preserve">Consumes the new near-miss/incident RAG corpus (G4).</w:t>
      </w:r>
    </w:p>
    <w:p>
      <w:pPr>
        <w:pStyle w:val="ListParagraph"/>
        <w:numPr>
          <w:ilvl w:val="0"/>
          <w:numId w:val="2"/>
        </w:numPr>
        <w:spacing w:after="100"/>
      </w:pPr>
      <w:r>
        <w:rPr>
          <w:sz w:val="21"/>
          <w:szCs w:val="21"/>
        </w:rPr>
        <w:t xml:space="preserve">Runs on a schedule (not per-event), cross-referencing accumulated AccidentPath history against historical incident patterns to surface recurring precursor combinations not yet encoded as a CompoundRule.</w:t>
      </w:r>
    </w:p>
    <w:p>
      <w:pPr>
        <w:pStyle w:val="ListParagraph"/>
        <w:numPr>
          <w:ilvl w:val="0"/>
          <w:numId w:val="2"/>
        </w:numPr>
        <w:spacing w:after="100"/>
      </w:pPr>
      <w:r>
        <w:rPr>
          <w:sz w:val="21"/>
          <w:szCs w:val="21"/>
        </w:rPr>
        <w:t xml:space="preserve">Output: candidate new bow-tie definitions for human safety-engineer review — this closes the loop between “system finds a pattern” and “pattern becomes a codified, auditable rule,” which is the actual differentiator over a black-box anomaly detector.</w:t>
      </w:r>
    </w:p>
    <w:p>
      <w:pPr>
        <w:pStyle w:val="Heading3"/>
        <w:spacing w:after="140" w:before="280"/>
      </w:pPr>
      <w:r>
        <w:rPr>
          <w:b/>
          <w:bCs/>
          <w:color w:val="333333"/>
        </w:rPr>
        <w:t xml:space="preserve">Agent 3 — Compliance Audit Agent (addresses “Quality &amp; Compliance Audit Agent,” G7)</w:t>
      </w:r>
    </w:p>
    <w:p>
      <w:pPr>
        <w:pStyle w:val="ListParagraph"/>
        <w:numPr>
          <w:ilvl w:val="0"/>
          <w:numId w:val="2"/>
        </w:numPr>
        <w:spacing w:after="100"/>
      </w:pPr>
      <w:r>
        <w:rPr>
          <w:sz w:val="21"/>
          <w:szCs w:val="21"/>
        </w:rPr>
        <w:t xml:space="preserve">Runs continuously against plant state (not only against active accident paths), independent of Stage 7–11.</w:t>
      </w:r>
    </w:p>
    <w:p>
      <w:pPr>
        <w:pStyle w:val="ListParagraph"/>
        <w:numPr>
          <w:ilvl w:val="0"/>
          <w:numId w:val="2"/>
        </w:numPr>
        <w:spacing w:after="100"/>
      </w:pPr>
      <w:r>
        <w:rPr>
          <w:sz w:val="21"/>
          <w:szCs w:val="21"/>
        </w:rPr>
        <w:t xml:space="preserve">Produces a compliance scorecard: which OISD/DGMS clauses are currently satisfied, which are at risk given current barrier health, which permits are approaching a compliance boundary.</w:t>
      </w:r>
    </w:p>
    <w:p>
      <w:pPr>
        <w:pStyle w:val="Heading2"/>
        <w:spacing w:after="180" w:before="360"/>
      </w:pPr>
      <w:r>
        <w:rPr>
          <w:b/>
          <w:bCs/>
          <w:color w:val="2E5395"/>
        </w:rPr>
        <w:t xml:space="preserve">4.3 Change Required</w:t>
      </w:r>
    </w:p>
    <w:tbl>
      <w:tblPr>
        <w:tblW w:type="dxa" w:w="6800"/>
        <w:tblBorders>
          <w:top w:val="single" w:color="B7C3D9" w:sz="4"/>
          <w:left w:val="single" w:color="B7C3D9" w:sz="4"/>
          <w:bottom w:val="single" w:color="B7C3D9" w:sz="4"/>
          <w:right w:val="single" w:color="B7C3D9" w:sz="4"/>
          <w:insideH w:val="single" w:color="B7C3D9" w:sz="2"/>
          <w:insideV w:val="single" w:color="B7C3D9" w:sz="2"/>
        </w:tblBorders>
      </w:tblPr>
      <w:tblGrid>
        <w:gridCol w:w="2200"/>
        <w:gridCol w:w="4600"/>
      </w:tblGrid>
      <w:tr>
        <w:trPr>
          <w:tblHeader/>
        </w:trPr>
        <w:tc>
          <w:tcPr>
            <w:tcW w:type="dxa" w:w="2200"/>
            <w:shd w:fill="1F3864" w:color="auto" w:val="clear"/>
            <w:tcMar>
              <w:top w:type="dxa" w:w="80"/>
              <w:left w:type="dxa" w:w="100"/>
              <w:bottom w:type="dxa" w:w="80"/>
              <w:right w:type="dxa" w:w="100"/>
            </w:tcMar>
            <w:vAlign w:val="center"/>
          </w:tcPr>
          <w:p>
            <w:pPr>
              <w:spacing w:after="0"/>
            </w:pPr>
            <w:r>
              <w:rPr>
                <w:b/>
                <w:bCs/>
                <w:color w:val="FFFFFF"/>
                <w:sz w:val="19"/>
                <w:szCs w:val="19"/>
              </w:rPr>
              <w:t xml:space="preserve">Component</w:t>
            </w:r>
          </w:p>
        </w:tc>
        <w:tc>
          <w:tcPr>
            <w:tcW w:type="dxa" w:w="4600"/>
            <w:shd w:fill="1F3864" w:color="auto" w:val="clear"/>
            <w:tcMar>
              <w:top w:type="dxa" w:w="80"/>
              <w:left w:type="dxa" w:w="100"/>
              <w:bottom w:type="dxa" w:w="80"/>
              <w:right w:type="dxa" w:w="100"/>
            </w:tcMar>
            <w:vAlign w:val="center"/>
          </w:tcPr>
          <w:p>
            <w:pPr>
              <w:spacing w:after="0"/>
            </w:pPr>
            <w:r>
              <w:rPr>
                <w:b/>
                <w:bCs/>
                <w:color w:val="FFFFFF"/>
                <w:sz w:val="19"/>
                <w:szCs w:val="19"/>
              </w:rPr>
              <w:t xml:space="preserve">Change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New service: agent_orchestrator</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Thin FastAPI service or module consuming pipeline events via the existing WebSocket/event bus — does not sit in the critical Stage 1–12 path, so it cannot introduce latency or failure modes into the fail-closed detection pipeline</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CutRecommendation</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No schema change required — Agent 1 subscribes to existing output</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New endpoint /agent/response-draft</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Returns Agent 1 output</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New endpoint /agent/patterns</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Returns Agent 2 output (candidate bow-ties)</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New endpoint /agent/compliance-scorecard</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Returns Agent 3 output</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Dashboard</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New “Response Draft” panel in Approvals view; new “Patterns” view; compliance scorecard in Regulations view</w:t>
            </w:r>
          </w:p>
        </w:tc>
      </w:tr>
    </w:tbl>
    <w:p>
      <w:pPr>
        <w:pStyle w:val="Heading2"/>
        <w:spacing w:after="180" w:before="360"/>
      </w:pPr>
      <w:r>
        <w:rPr>
          <w:b/>
          <w:bCs/>
          <w:color w:val="2E5395"/>
        </w:rPr>
        <w:t xml:space="preserve">4.4 Effort</w:t>
      </w:r>
    </w:p>
    <w:p>
      <w:pPr>
        <w:spacing w:after="160"/>
      </w:pPr>
      <w:r>
        <w:rPr>
          <w:sz w:val="21"/>
          <w:szCs w:val="21"/>
        </w:rPr>
        <w:t xml:space="preserve">Medium. All three agents are read-only consumers of existing pipeline state — none requires modifying Stage 1–12. The main cost is prompt/schema design and the near-miss corpus (shared with G4). This is deliberately architected so agent failures (LLM timeout, malformed output) cannot degrade the safety-critical deterministic pipeline — a hard requirement, not a nice-to-have, given the existing fail-closed design principle already in the codebase.</w:t>
      </w:r>
    </w:p>
    <w:p>
      <w:pPr>
        <w:pStyle w:val="Heading1"/>
        <w:spacing w:after="240" w:before="480"/>
      </w:pPr>
      <w:r>
        <w:rPr>
          <w:b/>
          <w:bCs/>
          <w:color w:val="1F3864"/>
        </w:rPr>
        <w:t xml:space="preserve">5. G3 — Geospatial Fidelity: Abstract Graph → Georeferenced Blueprint Overlay</w:t>
      </w:r>
    </w:p>
    <w:p>
      <w:pPr>
        <w:pStyle w:val="Heading2"/>
        <w:spacing w:after="180" w:before="360"/>
      </w:pPr>
      <w:r>
        <w:rPr>
          <w:b/>
          <w:bCs/>
          <w:color w:val="2E5395"/>
        </w:rPr>
        <w:t xml:space="preserve">5.1 Current State</w:t>
      </w:r>
    </w:p>
    <w:p>
      <w:pPr>
        <w:spacing w:after="160"/>
      </w:pPr>
      <w:r>
        <w:rPr>
          <w:sz w:val="21"/>
          <w:szCs w:val="21"/>
        </w:rPr>
        <w:t xml:space="preserve">The Zone Map view renders six zones as an interactive SVG with fixed abstract topology (zone-1 through zone-6, connections as declared in the adjacency table). This is a topology graph, not a geospatial map — there are no coordinates, no scale, no relationship to actual plant floor area, and Blueprint Canvas (Gemini Vision blueprint → zone extraction) currently feeds the Scenario Lab's fresh hypergraph construction, not this view.</w:t>
      </w:r>
    </w:p>
    <w:p>
      <w:pPr>
        <w:pBdr>
          <w:left w:val="single" w:color="2E5395" w:sz="24"/>
        </w:pBdr>
        <w:shd w:fill="F8D7DA" w:color="auto" w:val="clear"/>
        <w:spacing w:after="200" w:before="160"/>
        <w:ind w:left="200"/>
      </w:pPr>
      <w:r>
        <w:rPr>
          <w:b/>
          <w:bCs/>
          <w:color w:val="1F3864"/>
          <w:sz w:val="21"/>
          <w:szCs w:val="21"/>
        </w:rPr>
        <w:t xml:space="preserve">Why this matters most:  </w:t>
      </w:r>
      <w:r>
        <w:rPr>
          <w:sz w:val="21"/>
          <w:szCs w:val="21"/>
        </w:rPr>
        <w:t xml:space="preserve">“Geospatial Safety Analytics” appears in the theme title itself, and “Geospatial Safety Heatmap” is the second explicitly named buildable component. An abstract six-node colored graph will not be read as geospatial by a judge, regardless of how good the underlying risk math is.</w:t>
      </w:r>
    </w:p>
    <w:p>
      <w:pPr>
        <w:pStyle w:val="Heading2"/>
        <w:spacing w:after="180" w:before="360"/>
      </w:pPr>
      <w:r>
        <w:rPr>
          <w:b/>
          <w:bCs/>
          <w:color w:val="2E5395"/>
        </w:rPr>
        <w:t xml:space="preserve">5.2 Goal State</w:t>
      </w:r>
    </w:p>
    <w:p>
      <w:pPr>
        <w:spacing w:after="160"/>
      </w:pPr>
      <w:r>
        <w:rPr>
          <w:sz w:val="21"/>
          <w:szCs w:val="21"/>
        </w:rPr>
        <w:t xml:space="preserve">Blueprint Canvas output is repurposed as the source of spatial ground truth for the primary risk visualization, not merely a Scenario Lab input:</w:t>
      </w:r>
    </w:p>
    <w:p>
      <w:pPr>
        <w:pStyle w:val="ListParagraph"/>
        <w:numPr>
          <w:ilvl w:val="0"/>
          <w:numId w:val="2"/>
        </w:numPr>
        <w:spacing w:after="100"/>
      </w:pPr>
      <w:r>
        <w:rPr>
          <w:sz w:val="21"/>
          <w:szCs w:val="21"/>
        </w:rPr>
        <w:t xml:space="preserve">Gemini Vision extraction returns zone boundaries as pixel-space polygons referenced to the uploaded blueprint image (already close to what Blueprint Canvas does for topology extraction — the change is retaining and exposing polygon vertices instead of collapsing to a zone list).</w:t>
      </w:r>
    </w:p>
    <w:p>
      <w:pPr>
        <w:pStyle w:val="ListParagraph"/>
        <w:numPr>
          <w:ilvl w:val="0"/>
          <w:numId w:val="2"/>
        </w:numPr>
        <w:spacing w:after="100"/>
      </w:pPr>
      <w:r>
        <w:rPr>
          <w:sz w:val="21"/>
          <w:szCs w:val="21"/>
        </w:rPr>
        <w:t xml:space="preserve">A SpatialZone record stores {zone_id, polygon: List[Point2D], image_ref, scale_reference} — scale_reference from either a user-provided known-distance calibration (e.g. “this wall is 40m”) or, if absent, left in blueprint-pixel space with an explicit disclaimer rather than a fabricated real-world scale.</w:t>
      </w:r>
    </w:p>
    <w:p>
      <w:pPr>
        <w:pBdr>
          <w:left w:val="single" w:color="2E5395" w:sz="24"/>
        </w:pBdr>
        <w:shd w:fill="EEF2F8" w:color="auto" w:val="clear"/>
        <w:spacing w:after="200" w:before="160"/>
        <w:ind w:left="200"/>
      </w:pPr>
      <w:r>
        <w:rPr>
          <w:b/>
          <w:bCs/>
          <w:color w:val="1F3864"/>
          <w:sz w:val="21"/>
          <w:szCs w:val="21"/>
        </w:rPr>
        <w:t xml:space="preserve">Apply the existing framework:  </w:t>
      </w:r>
      <w:r>
        <w:rPr>
          <w:sz w:val="21"/>
          <w:szCs w:val="21"/>
        </w:rPr>
        <w:t xml:space="preserve">do not silently invent a scale — an [S]-class assumption must be tagged as such per CAUSALCUT's own Information Classification Framework, which already has a category for exactly this.</w:t>
      </w:r>
    </w:p>
    <w:p>
      <w:pPr>
        <w:pStyle w:val="ListParagraph"/>
        <w:numPr>
          <w:ilvl w:val="0"/>
          <w:numId w:val="2"/>
        </w:numPr>
        <w:spacing w:after="100"/>
      </w:pPr>
      <w:r>
        <w:rPr>
          <w:sz w:val="21"/>
          <w:szCs w:val="21"/>
        </w:rPr>
        <w:t xml:space="preserve">Risk Propagator (Stage 9) output — the continuous R_i(t) value per zone — renders as a heat overlay directly on the blueprint image (polygon fill, red-to-green gradient) instead of on an abstract SVG shape. This is the literal “Geospatial Safety Heatmap” deliverable, implemented with data already computed.</w:t>
      </w:r>
    </w:p>
    <w:p>
      <w:pPr>
        <w:pStyle w:val="ListParagraph"/>
        <w:numPr>
          <w:ilvl w:val="0"/>
          <w:numId w:val="2"/>
        </w:numPr>
        <w:spacing w:after="100"/>
      </w:pPr>
      <w:r>
        <w:rPr>
          <w:sz w:val="21"/>
          <w:szCs w:val="21"/>
        </w:rPr>
        <w:t xml:space="preserve">WORKER nodes, currently tracked only as worker_zones (which zone a worker is in), get an optional (x, y) field within the zone polygon when CCTV/tracking data provides it, or default to zone-centroid placement when it does not — this degrades gracefully rather than requiring the full vision pipeline (G8) to be functional.</w:t>
      </w:r>
    </w:p>
    <w:p>
      <w:pPr>
        <w:pStyle w:val="Heading2"/>
        <w:spacing w:after="180" w:before="360"/>
      </w:pPr>
      <w:r>
        <w:rPr>
          <w:b/>
          <w:bCs/>
          <w:color w:val="2E5395"/>
        </w:rPr>
        <w:t xml:space="preserve">5.3 Change Required</w:t>
      </w:r>
    </w:p>
    <w:tbl>
      <w:tblPr>
        <w:tblW w:type="dxa" w:w="6800"/>
        <w:tblBorders>
          <w:top w:val="single" w:color="B7C3D9" w:sz="4"/>
          <w:left w:val="single" w:color="B7C3D9" w:sz="4"/>
          <w:bottom w:val="single" w:color="B7C3D9" w:sz="4"/>
          <w:right w:val="single" w:color="B7C3D9" w:sz="4"/>
          <w:insideH w:val="single" w:color="B7C3D9" w:sz="2"/>
          <w:insideV w:val="single" w:color="B7C3D9" w:sz="2"/>
        </w:tblBorders>
      </w:tblPr>
      <w:tblGrid>
        <w:gridCol w:w="2200"/>
        <w:gridCol w:w="4600"/>
      </w:tblGrid>
      <w:tr>
        <w:trPr>
          <w:tblHeader/>
        </w:trPr>
        <w:tc>
          <w:tcPr>
            <w:tcW w:type="dxa" w:w="2200"/>
            <w:shd w:fill="1F3864" w:color="auto" w:val="clear"/>
            <w:tcMar>
              <w:top w:type="dxa" w:w="80"/>
              <w:left w:type="dxa" w:w="100"/>
              <w:bottom w:type="dxa" w:w="80"/>
              <w:right w:type="dxa" w:w="100"/>
            </w:tcMar>
            <w:vAlign w:val="center"/>
          </w:tcPr>
          <w:p>
            <w:pPr>
              <w:spacing w:after="0"/>
            </w:pPr>
            <w:r>
              <w:rPr>
                <w:b/>
                <w:bCs/>
                <w:color w:val="FFFFFF"/>
                <w:sz w:val="19"/>
                <w:szCs w:val="19"/>
              </w:rPr>
              <w:t xml:space="preserve">Component</w:t>
            </w:r>
          </w:p>
        </w:tc>
        <w:tc>
          <w:tcPr>
            <w:tcW w:type="dxa" w:w="4600"/>
            <w:shd w:fill="1F3864" w:color="auto" w:val="clear"/>
            <w:tcMar>
              <w:top w:type="dxa" w:w="80"/>
              <w:left w:type="dxa" w:w="100"/>
              <w:bottom w:type="dxa" w:w="80"/>
              <w:right w:type="dxa" w:w="100"/>
            </w:tcMar>
            <w:vAlign w:val="center"/>
          </w:tcPr>
          <w:p>
            <w:pPr>
              <w:spacing w:after="0"/>
            </w:pPr>
            <w:r>
              <w:rPr>
                <w:b/>
                <w:bCs/>
                <w:color w:val="FFFFFF"/>
                <w:sz w:val="19"/>
                <w:szCs w:val="19"/>
              </w:rPr>
              <w:t xml:space="preserve">Change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Blueprint Canvas / Gemini Vision extraction</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Retain polygon vertices in extraction output; currently likely collapsed to zone metadata only — needs verification against actual current extraction schema</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New table: spatial_zones</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{zone_id, polygon_points, image_ref, scale_reference, scale_confidence}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Risk Propagator output consumption</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No change to Euler diffusion math — only the rendering layer changes</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Dashboard — Zone Map view</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Replace fixed SVG with image-anchored polygon overlay (SVG &lt;polygon&gt; elements positioned in the blueprint image's coordinate space, or a canvas-based heat layer)</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information_class tagging</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Any position without a real calibration reference is tagged [S] (Synthetic) per the existing framework — correct application of a system CAUSALCUT already has, not new infrastructure</w:t>
            </w:r>
          </w:p>
        </w:tc>
      </w:tr>
    </w:tbl>
    <w:p>
      <w:pPr>
        <w:pStyle w:val="Heading2"/>
        <w:spacing w:after="180" w:before="360"/>
      </w:pPr>
      <w:r>
        <w:rPr>
          <w:b/>
          <w:bCs/>
          <w:color w:val="2E5395"/>
        </w:rPr>
        <w:t xml:space="preserve">5.4 Effort</w:t>
      </w:r>
    </w:p>
    <w:p>
      <w:pPr>
        <w:spacing w:after="160"/>
      </w:pPr>
      <w:r>
        <w:rPr>
          <w:sz w:val="21"/>
          <w:szCs w:val="21"/>
        </w:rPr>
        <w:t xml:space="preserve">Medium. The Euler diffusion risk math (Stage 9) is completely unchanged — this is a rendering-layer and data-model change, not an analytical-engine change. The main new work is the polygon extraction/calibration flow and the frontend overlay component. Given React 19 and the existing SVG-based Zone Map, this is a substitution of the coordinate source, not a rewrite of the rendering approach.</w:t>
      </w:r>
    </w:p>
    <w:p>
      <w:pPr>
        <w:pStyle w:val="Heading1"/>
        <w:spacing w:after="240" w:before="480"/>
      </w:pPr>
      <w:r>
        <w:rPr>
          <w:b/>
          <w:bCs/>
          <w:color w:val="1F3864"/>
        </w:rPr>
        <w:t xml:space="preserve">6. G4 — Incident Pattern Intelligence: Regulatory-Only RAG → Dual-Corpus RAG</w:t>
      </w:r>
    </w:p>
    <w:p>
      <w:pPr>
        <w:pStyle w:val="Heading2"/>
        <w:spacing w:after="180" w:before="360"/>
      </w:pPr>
      <w:r>
        <w:rPr>
          <w:b/>
          <w:bCs/>
          <w:color w:val="2E5395"/>
        </w:rPr>
        <w:t xml:space="preserve">6.1 Current State</w:t>
      </w:r>
    </w:p>
    <w:p>
      <w:pPr>
        <w:spacing w:after="160"/>
      </w:pPr>
      <w:r>
        <w:rPr>
          <w:sz w:val="21"/>
          <w:szCs w:val="21"/>
        </w:rPr>
        <w:t xml:space="preserve">The Regulatory RAG microservice (port 5005, FAISS IndexFlatIP, MiniLM-L6-v2 embeddings, Gemini 2.0 Flash generation) indexes exactly one corpus type: OISD-STD-105/114/137, Factories Act 1948, DGMS Circulars. It answers “is this recommendation compliant” — it does not answer “has this precursor combination happened before, and what happened.”</w:t>
      </w:r>
    </w:p>
    <w:p>
      <w:pPr>
        <w:spacing w:after="160"/>
      </w:pPr>
      <w:r>
        <w:rPr>
          <w:sz w:val="21"/>
          <w:szCs w:val="21"/>
        </w:rPr>
        <w:t xml:space="preserve">“Incident Pattern Intelligence” is a named deliverable in the problem statement (RAG-powered agent cross-referencing near-miss reports, historical incident data, and regulatory guidance) and is currently unaddressed.</w:t>
      </w:r>
    </w:p>
    <w:p>
      <w:pPr>
        <w:pStyle w:val="Heading2"/>
        <w:spacing w:after="180" w:before="360"/>
      </w:pPr>
      <w:r>
        <w:rPr>
          <w:b/>
          <w:bCs/>
          <w:color w:val="2E5395"/>
        </w:rPr>
        <w:t xml:space="preserve">6.2 Goal State</w:t>
      </w:r>
    </w:p>
    <w:p>
      <w:pPr>
        <w:spacing w:after="160"/>
      </w:pPr>
      <w:r>
        <w:rPr>
          <w:sz w:val="21"/>
          <w:szCs w:val="21"/>
        </w:rPr>
        <w:t xml:space="preserve">A second FAISS index, same embedding model, over a corpus of:</w:t>
      </w:r>
    </w:p>
    <w:p>
      <w:pPr>
        <w:pStyle w:val="ListParagraph"/>
        <w:numPr>
          <w:ilvl w:val="0"/>
          <w:numId w:val="2"/>
        </w:numPr>
        <w:spacing w:after="100"/>
      </w:pPr>
      <w:r>
        <w:rPr>
          <w:sz w:val="21"/>
          <w:szCs w:val="21"/>
        </w:rPr>
        <w:t xml:space="preserve">Publicly available industrial incident summaries (DGFASLI annual reports, DGMS circular incident annexes, news-verified incident writeups).</w:t>
      </w:r>
    </w:p>
    <w:p>
      <w:pPr>
        <w:pStyle w:val="ListParagraph"/>
        <w:numPr>
          <w:ilvl w:val="0"/>
          <w:numId w:val="2"/>
        </w:numPr>
        <w:spacing w:after="100"/>
      </w:pPr>
      <w:r>
        <w:rPr>
          <w:sz w:val="21"/>
          <w:szCs w:val="21"/>
        </w:rPr>
        <w:t xml:space="preserve">Synthetic near-miss reports generated to match CAUSALCUT's own AccidentPath schema, since real proprietary near-miss logs are not obtainable for a hackathon demo.</w:t>
      </w:r>
    </w:p>
    <w:p>
      <w:pPr>
        <w:pBdr>
          <w:left w:val="single" w:color="2E5395" w:sz="24"/>
        </w:pBdr>
        <w:shd w:fill="F8D7DA" w:color="auto" w:val="clear"/>
        <w:spacing w:after="200" w:before="160"/>
        <w:ind w:left="200"/>
      </w:pPr>
      <w:r>
        <w:rPr>
          <w:b/>
          <w:bCs/>
          <w:color w:val="1F3864"/>
          <w:sz w:val="21"/>
          <w:szCs w:val="21"/>
        </w:rPr>
        <w:t xml:space="preserve">Disclosure requirement:  </w:t>
      </w:r>
      <w:r>
        <w:rPr>
          <w:sz w:val="21"/>
          <w:szCs w:val="21"/>
        </w:rPr>
        <w:t xml:space="preserve">this must be presented as synthetic data in the pitch, not as real historical near-miss records, consistent with the project's own “No Fabrication” principle already stated for the ML models.</w:t>
      </w:r>
    </w:p>
    <w:p>
      <w:pPr>
        <w:spacing w:after="160"/>
      </w:pPr>
      <w:r>
        <w:rPr>
          <w:sz w:val="21"/>
          <w:szCs w:val="21"/>
        </w:rPr>
        <w:t xml:space="preserve">New endpoint /api/patterns/query: given a current or historical AccidentPath, retrieve structurally similar past incidents and surface the common precursor pattern. This is what feeds Agent 2 (Incident Pattern Agent, Section 4.2).</w:t>
      </w:r>
    </w:p>
    <w:p>
      <w:pPr>
        <w:pStyle w:val="Heading2"/>
        <w:spacing w:after="180" w:before="360"/>
      </w:pPr>
      <w:r>
        <w:rPr>
          <w:b/>
          <w:bCs/>
          <w:color w:val="2E5395"/>
        </w:rPr>
        <w:t xml:space="preserve">6.3 Change Required</w:t>
      </w:r>
    </w:p>
    <w:tbl>
      <w:tblPr>
        <w:tblW w:type="dxa" w:w="6800"/>
        <w:tblBorders>
          <w:top w:val="single" w:color="B7C3D9" w:sz="4"/>
          <w:left w:val="single" w:color="B7C3D9" w:sz="4"/>
          <w:bottom w:val="single" w:color="B7C3D9" w:sz="4"/>
          <w:right w:val="single" w:color="B7C3D9" w:sz="4"/>
          <w:insideH w:val="single" w:color="B7C3D9" w:sz="2"/>
          <w:insideV w:val="single" w:color="B7C3D9" w:sz="2"/>
        </w:tblBorders>
      </w:tblPr>
      <w:tblGrid>
        <w:gridCol w:w="2200"/>
        <w:gridCol w:w="4600"/>
      </w:tblGrid>
      <w:tr>
        <w:trPr>
          <w:tblHeader/>
        </w:trPr>
        <w:tc>
          <w:tcPr>
            <w:tcW w:type="dxa" w:w="2200"/>
            <w:shd w:fill="1F3864" w:color="auto" w:val="clear"/>
            <w:tcMar>
              <w:top w:type="dxa" w:w="80"/>
              <w:left w:type="dxa" w:w="100"/>
              <w:bottom w:type="dxa" w:w="80"/>
              <w:right w:type="dxa" w:w="100"/>
            </w:tcMar>
            <w:vAlign w:val="center"/>
          </w:tcPr>
          <w:p>
            <w:pPr>
              <w:spacing w:after="0"/>
            </w:pPr>
            <w:r>
              <w:rPr>
                <w:b/>
                <w:bCs/>
                <w:color w:val="FFFFFF"/>
                <w:sz w:val="19"/>
                <w:szCs w:val="19"/>
              </w:rPr>
              <w:t xml:space="preserve">Component</w:t>
            </w:r>
          </w:p>
        </w:tc>
        <w:tc>
          <w:tcPr>
            <w:tcW w:type="dxa" w:w="4600"/>
            <w:shd w:fill="1F3864" w:color="auto" w:val="clear"/>
            <w:tcMar>
              <w:top w:type="dxa" w:w="80"/>
              <w:left w:type="dxa" w:w="100"/>
              <w:bottom w:type="dxa" w:w="80"/>
              <w:right w:type="dxa" w:w="100"/>
            </w:tcMar>
            <w:vAlign w:val="center"/>
          </w:tcPr>
          <w:p>
            <w:pPr>
              <w:spacing w:after="0"/>
            </w:pPr>
            <w:r>
              <w:rPr>
                <w:b/>
                <w:bCs/>
                <w:color w:val="FFFFFF"/>
                <w:sz w:val="19"/>
                <w:szCs w:val="19"/>
              </w:rPr>
              <w:t xml:space="preserve">Change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Regulatory RAG service</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Add second FAISS index (incidents_index) alongside existing regulatory_index — same service, same embedding pipeline, separate index namespace</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New endpoint</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/api/patterns/query (analogous to existing /api/query)</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Corpus</w:t>
            </w:r>
          </w:p>
        </w:tc>
        <w:tc>
          <w:tcPr>
            <w:tcW w:type="dxa" w:w="4600"/>
            <w:tcMar>
              <w:top w:type="dxa" w:w="80"/>
              <w:left w:type="dxa" w:w="100"/>
              <w:bottom w:type="dxa" w:w="80"/>
              <w:right w:type="dxa" w:w="100"/>
            </w:tcMar>
            <w:vAlign w:val="center"/>
          </w:tcPr>
          <w:p>
            <w:pPr>
              <w:spacing w:after="0"/>
            </w:pPr>
            <w:r>
              <w:rPr>
                <w:b w:val="false"/>
                <w:bCs w:val="false"/>
                <w:sz w:val="19"/>
                <w:szCs w:val="19"/>
              </w:rPr>
              <w:t xml:space="preserve">Curate ~30–50 incident summaries (public sources + synthetic near-miss reports schema-matched to AccidentPath)</w:t>
            </w:r>
          </w:p>
        </w:tc>
      </w:tr>
      <w:tr>
        <w:tc>
          <w:tcPr>
            <w:tcW w:type="dxa" w:w="2200"/>
            <w:shd w:fill="EEF2F8" w:color="auto" w:val="clear"/>
            <w:tcMar>
              <w:top w:type="dxa" w:w="80"/>
              <w:left w:type="dxa" w:w="100"/>
              <w:bottom w:type="dxa" w:w="80"/>
              <w:right w:type="dxa" w:w="100"/>
            </w:tcMar>
            <w:vAlign w:val="center"/>
          </w:tcPr>
          <w:p>
            <w:pPr>
              <w:spacing w:after="0"/>
            </w:pPr>
            <w:r>
              <w:rPr>
                <w:b w:val="false"/>
                <w:bCs w:val="false"/>
                <w:sz w:val="19"/>
                <w:szCs w:val="19"/>
              </w:rPr>
              <w:t xml:space="preserve">AccidentPath</w:t>
            </w:r>
          </w:p>
        </w:tc>
        <w:tc>
          <w:tcPr>
            <w:tcW w:type="dxa" w:w="4600"/>
            <w:shd w:fill="EEF2F8" w:color="auto" w:val="clear"/>
            <w:tcMar>
              <w:top w:type="dxa" w:w="80"/>
              <w:left w:type="dxa" w:w="100"/>
              <w:bottom w:type="dxa" w:w="80"/>
              <w:right w:type="dxa" w:w="100"/>
            </w:tcMar>
            <w:vAlign w:val="center"/>
          </w:tcPr>
          <w:p>
            <w:pPr>
              <w:spacing w:after="0"/>
            </w:pPr>
            <w:r>
              <w:rPr>
                <w:b w:val="false"/>
                <w:bCs w:val="false"/>
                <w:sz w:val="19"/>
                <w:szCs w:val="19"/>
              </w:rPr>
              <w:t xml:space="preserve">Add optional similar_incidents: List[IncidentReference] field populated by Agent 2</w:t>
            </w:r>
          </w:p>
        </w:tc>
      </w:tr>
    </w:tbl>
    <w:p>
      <w:pPr>
        <w:pStyle w:val="Heading2"/>
        <w:spacing w:after="180" w:before="360"/>
      </w:pPr>
      <w:r>
        <w:rPr>
          <w:b/>
          <w:bCs/>
          <w:color w:val="2E5395"/>
        </w:rPr>
        <w:t xml:space="preserve">6.4 Effort</w:t>
      </w:r>
    </w:p>
    <w:p>
      <w:pPr>
        <w:spacing w:after="160"/>
      </w:pPr>
      <w:r>
        <w:rPr>
          <w:sz w:val="21"/>
          <w:szCs w:val="21"/>
        </w:rPr>
        <w:t xml:space="preserve">Low-medium. Reuses 100% of existing RAG infrastructure (FAISS, embedding pipeline, Gemini generation, /api/verify-style endpoint pattern). The bottleneck is corpus curation, which is a data-collection task, not an engineering task.</w:t>
      </w:r>
    </w:p>
    <w:p>
      <w:pPr>
        <w:pStyle w:val="Heading1"/>
        <w:spacing w:after="240" w:before="480"/>
      </w:pPr>
      <w:r>
        <w:rPr>
          <w:b/>
          <w:bCs/>
          <w:color w:val="1F3864"/>
        </w:rPr>
        <w:t xml:space="preserve">7. G5 — Emergency Response: Approval-Gated Only → Agent-Drafted, Still Approval-Gated</w:t>
      </w:r>
    </w:p>
    <w:p>
      <w:pPr>
        <w:spacing w:after="160"/>
      </w:pPr>
      <w:r>
        <w:rPr>
          <w:sz w:val="21"/>
          <w:szCs w:val="21"/>
        </w:rPr>
        <w:t xml:space="preserve">Covered structurally in Section 4.2 (Agent 1). Restated as its own gap because it maps to a distinctly named deliverable: “Emergency Response Orchestrator — reducing the critical first 10 minutes from chaos to coordinated response.”</w:t>
      </w:r>
    </w:p>
    <w:p>
      <w:pPr>
        <w:pStyle w:val="Heading2"/>
        <w:spacing w:after="180" w:before="360"/>
      </w:pPr>
      <w:r>
        <w:rPr>
          <w:b/>
          <w:bCs/>
          <w:color w:val="2E5395"/>
        </w:rPr>
        <w:t xml:space="preserve">7.1 Current State</w:t>
      </w:r>
    </w:p>
    <w:p>
      <w:pPr>
        <w:spacing w:after="160"/>
      </w:pPr>
      <w:r>
        <w:rPr>
          <w:sz w:val="21"/>
          <w:szCs w:val="21"/>
        </w:rPr>
        <w:t xml:space="preserve">/risk/approve requires a safety_manager-or-above role to approve a CutRecommendation before any intervention is logged as actioned. There is no drafted evacuation/alert/incident-report artifact — the operator sees the recommendation (e.g. “close barrier B-3, evacuate zone-1, suspend permit HW-007”) but must manually compose alerts and the incident report.</w:t>
      </w:r>
    </w:p>
    <w:p>
      <w:pPr>
        <w:pStyle w:val="Heading2"/>
        <w:spacing w:after="180" w:before="360"/>
      </w:pPr>
      <w:r>
        <w:rPr>
          <w:b/>
          <w:bCs/>
          <w:color w:val="2E5395"/>
        </w:rPr>
        <w:t xml:space="preserve">7.2 Goal State</w:t>
      </w:r>
    </w:p>
    <w:p>
      <w:pPr>
        <w:spacing w:after="160"/>
      </w:pPr>
      <w:r>
        <w:rPr>
          <w:sz w:val="21"/>
          <w:szCs w:val="21"/>
        </w:rPr>
        <w:t xml:space="preserve">On a CutRecommendation crossing a severity threshold, Agent 1 automatically produces:</w:t>
      </w:r>
    </w:p>
    <w:p>
      <w:pPr>
        <w:pStyle w:val="ListParagraph"/>
        <w:numPr>
          <w:ilvl w:val="0"/>
          <w:numId w:val="2"/>
        </w:numPr>
        <w:spacing w:after="100"/>
      </w:pPr>
      <w:r>
        <w:rPr>
          <w:sz w:val="21"/>
          <w:szCs w:val="21"/>
        </w:rPr>
        <w:t xml:space="preserve">A per-channel alert draft (SMS text, PA announcement script, dashboard banner text) referencing the specific zones and hazard.</w:t>
      </w:r>
    </w:p>
    <w:p>
      <w:pPr>
        <w:pStyle w:val="ListParagraph"/>
        <w:numPr>
          <w:ilvl w:val="0"/>
          <w:numId w:val="2"/>
        </w:numPr>
        <w:spacing w:after="100"/>
      </w:pPr>
      <w:r>
        <w:rPr>
          <w:sz w:val="21"/>
          <w:szCs w:val="21"/>
        </w:rPr>
        <w:t xml:space="preserve">An evacuation checklist ordered by zone risk (R_i(t) descending) and propagation timing (estimate_time_to_harm() output, already computed in Stage 9 and currently under-used downstream).</w:t>
      </w:r>
    </w:p>
    <w:p>
      <w:pPr>
        <w:pStyle w:val="ListParagraph"/>
        <w:numPr>
          <w:ilvl w:val="0"/>
          <w:numId w:val="2"/>
        </w:numPr>
        <w:spacing w:after="100"/>
      </w:pPr>
      <w:r>
        <w:rPr>
          <w:sz w:val="21"/>
          <w:szCs w:val="21"/>
        </w:rPr>
        <w:t xml:space="preserve">A DGMS/OISD-formatted preliminary incident report skeleton, pre-filled with the [M]/[P]/[C] event chain, timestamped and hash-chain-referenced to the audit log entry created on approval.</w:t>
      </w:r>
    </w:p>
    <w:p>
      <w:pPr>
        <w:spacing w:after="160"/>
      </w:pPr>
      <w:r>
        <w:rPr>
          <w:sz w:val="21"/>
          <w:szCs w:val="21"/>
        </w:rPr>
        <w:t xml:space="preserve">None of this executes automatically. The safety_manager reviews the draft alongside the existing CutRecommendation and approves or edits before anything is sent or logged as actioned. This preserves the existing fail-closed, human-gated design while directly answering the “first 10 minutes” framing in the problem statement — the claim becomes “we cut the drafting and composition time to near-zero,” which is both true and honestly scoped, rather than “we autonomously evacuate the plant,” which would be both false and a bad safety design.</w:t>
      </w:r>
    </w:p>
    <w:p>
      <w:pPr>
        <w:pStyle w:val="Heading2"/>
        <w:spacing w:after="180" w:before="360"/>
      </w:pPr>
      <w:r>
        <w:rPr>
          <w:b/>
          <w:bCs/>
          <w:color w:val="2E5395"/>
        </w:rPr>
        <w:t xml:space="preserve">7.3 Effort</w:t>
      </w:r>
    </w:p>
    <w:p>
      <w:pPr>
        <w:spacing w:after="160"/>
      </w:pPr>
      <w:r>
        <w:rPr>
          <w:sz w:val="21"/>
          <w:szCs w:val="21"/>
        </w:rPr>
        <w:t xml:space="preserve">Low, once Agent 1 (Section 4) exists — this section is Agent 1's primary output, not separate work.</w:t>
      </w:r>
    </w:p>
    <w:p>
      <w:pPr>
        <w:pStyle w:val="Heading1"/>
        <w:spacing w:after="240" w:before="480"/>
      </w:pPr>
      <w:r>
        <w:rPr>
          <w:b/>
          <w:bCs/>
          <w:color w:val="1F3864"/>
        </w:rPr>
        <w:t xml:space="preserve">8. G6 — Barrier State: Binary Status → Live Barrier Health</w:t>
      </w:r>
    </w:p>
    <w:p>
      <w:pPr>
        <w:pStyle w:val="Heading2"/>
        <w:spacing w:after="180" w:before="360"/>
      </w:pPr>
      <w:r>
        <w:rPr>
          <w:b/>
          <w:bCs/>
          <w:color w:val="2E5395"/>
        </w:rPr>
        <w:t xml:space="preserve">8.1 Current State</w:t>
      </w:r>
    </w:p>
    <w:p>
      <w:pPr>
        <w:spacing w:after="160"/>
      </w:pPr>
      <w:r>
        <w:rPr>
          <w:sz w:val="21"/>
          <w:szCs w:val="21"/>
        </w:rPr>
        <w:t xml:space="preserve">barrier_status is one of the eleven SafetyEvent types — a barrier is reported as up or down at a point in time. barrier_down() is one of the composable predicates. This is sufficient for the current rule-evaluation logic but does not capture degradation short of failure, which is the specific insight distinguishing “Live Barrier Health” (industry precedent: Enablon Dynamic Bowtie, SmartQHSE) from simple up/down status: a barrier rarely fails outright — it drifts via bypassed interlocks, overdue proof tests, or excessive demand counts — and catching that drift early is the entire value proposition of dynamic barrier management over static bow-tie documentation.</w:t>
      </w:r>
    </w:p>
    <w:p>
      <w:pPr>
        <w:pStyle w:val="Heading2"/>
        <w:spacing w:after="180" w:before="360"/>
      </w:pPr>
      <w:r>
        <w:rPr>
          <w:b/>
          <w:bCs/>
          <w:color w:val="2E5395"/>
        </w:rPr>
        <w:t xml:space="preserve">8.2 Goal State</w:t>
      </w:r>
    </w:p>
    <w:p>
      <w:pPr>
        <w:spacing w:after="160"/>
      </w:pPr>
      <w:r>
        <w:rPr>
          <w:sz w:val="21"/>
          <w:szCs w:val="21"/>
        </w:rPr>
        <w:t xml:space="preserve">Barrier node gains fields beyond binary status:</w:t>
      </w:r>
    </w:p>
    <w:p>
      <w:pPr>
        <w:pStyle w:val="ListParagraph"/>
        <w:numPr>
          <w:ilvl w:val="0"/>
          <w:numId w:val="2"/>
        </w:numPr>
        <w:spacing w:after="100"/>
      </w:pPr>
      <w:r>
        <w:rPr>
          <w:sz w:val="21"/>
          <w:szCs w:val="21"/>
        </w:rPr>
        <w:t xml:space="preserve">last_proof_test: datetime</w:t>
      </w:r>
    </w:p>
    <w:p>
      <w:pPr>
        <w:pStyle w:val="ListParagraph"/>
        <w:numPr>
          <w:ilvl w:val="0"/>
          <w:numId w:val="2"/>
        </w:numPr>
        <w:spacing w:after="100"/>
      </w:pPr>
      <w:r>
        <w:rPr>
          <w:sz w:val="21"/>
          <w:szCs w:val="21"/>
        </w:rPr>
        <w:t xml:space="preserve">proof_test_interval: timedelta (from the source bow-tie's performance standard)</w:t>
      </w:r>
    </w:p>
    <w:p>
      <w:pPr>
        <w:pStyle w:val="ListParagraph"/>
        <w:numPr>
          <w:ilvl w:val="0"/>
          <w:numId w:val="2"/>
        </w:numPr>
        <w:spacing w:after="100"/>
      </w:pPr>
      <w:r>
        <w:rPr>
          <w:sz w:val="21"/>
          <w:szCs w:val="21"/>
        </w:rPr>
        <w:t xml:space="preserve">bypass_active: bool</w:t>
      </w:r>
    </w:p>
    <w:p>
      <w:pPr>
        <w:pStyle w:val="ListParagraph"/>
        <w:numPr>
          <w:ilvl w:val="0"/>
          <w:numId w:val="2"/>
        </w:numPr>
        <w:spacing w:after="100"/>
      </w:pPr>
      <w:r>
        <w:rPr>
          <w:sz w:val="21"/>
          <w:szCs w:val="21"/>
        </w:rPr>
        <w:t xml:space="preserve">demand_count_since_test: int</w:t>
      </w:r>
    </w:p>
    <w:p>
      <w:pPr>
        <w:pStyle w:val="ListParagraph"/>
        <w:numPr>
          <w:ilvl w:val="0"/>
          <w:numId w:val="2"/>
        </w:numPr>
        <w:spacing w:after="100"/>
      </w:pPr>
      <w:r>
        <w:rPr>
          <w:sz w:val="21"/>
          <w:szCs w:val="21"/>
        </w:rPr>
        <w:t xml:space="preserve">health_status: Literal["healthy", "degraded", "impaired"] — derived, not directly set, computed from the above</w:t>
      </w:r>
    </w:p>
    <w:p>
      <w:pPr>
        <w:spacing w:after="160"/>
      </w:pPr>
      <w:r>
        <w:rPr>
          <w:sz w:val="21"/>
          <w:szCs w:val="21"/>
        </w:rPr>
        <w:t xml:space="preserve">barrier_down() predicate becomes barrier_health_below(threshold), generalizing the existing binary check without breaking any existing rule definitions (a health_status == "impaired" check is backward-compatible with the old binary barrier_down() semantics).</w:t>
      </w:r>
    </w:p>
    <w:p>
      <w:pPr>
        <w:spacing w:after="160"/>
      </w:pPr>
      <w:r>
        <w:rPr>
          <w:sz w:val="21"/>
          <w:szCs w:val="21"/>
        </w:rPr>
        <w:t xml:space="preserve">This directly enables a Cumulative Risk Heat Map equivalent to what Enablon's Dynamic Bowtie product offers commercially — multiple simultaneously-degraded barriers on the same top event compound risk even before any single one is fully “down,” which the current binary model cannot represent.</w:t>
      </w:r>
    </w:p>
    <w:p>
      <w:pPr>
        <w:pStyle w:val="Heading2"/>
        <w:spacing w:after="180" w:before="360"/>
      </w:pPr>
      <w:r>
        <w:rPr>
          <w:b/>
          <w:bCs/>
          <w:color w:val="2E5395"/>
        </w:rPr>
        <w:t xml:space="preserve">8.3 Effort</w:t>
      </w:r>
    </w:p>
    <w:p>
      <w:pPr>
        <w:spacing w:after="160"/>
      </w:pPr>
      <w:r>
        <w:rPr>
          <w:sz w:val="21"/>
          <w:szCs w:val="21"/>
        </w:rPr>
        <w:t xml:space="preserve">Medium. This is a genuine schema and rule-engine extension, not a relabeling — barrier_health_below() needs new evaluation logic, and the CP-SAT cut optimizer's cost model should ideally weight “restore a degraded barrier” as a cheaper, lower-latency intervention option than “close/isolate,” which the optimizer does not currently have as an action type.</w:t>
      </w:r>
    </w:p>
    <w:p>
      <w:pPr>
        <w:pStyle w:val="Heading1"/>
        <w:spacing w:after="240" w:before="480"/>
      </w:pPr>
      <w:r>
        <w:rPr>
          <w:b/>
          <w:bCs/>
          <w:color w:val="1F3864"/>
        </w:rPr>
        <w:t xml:space="preserve">9. G7, G8, G9 — Lower-Priority Items</w:t>
      </w:r>
    </w:p>
    <w:p>
      <w:pPr>
        <w:pStyle w:val="Heading3"/>
        <w:spacing w:after="140" w:before="280"/>
      </w:pPr>
      <w:r>
        <w:rPr>
          <w:b/>
          <w:bCs/>
          <w:color w:val="333333"/>
        </w:rPr>
        <w:t xml:space="preserve">G7 — Continuous compliance scorecard</w:t>
      </w:r>
    </w:p>
    <w:p>
      <w:pPr>
        <w:spacing w:after="160"/>
      </w:pPr>
      <w:r>
        <w:rPr>
          <w:sz w:val="21"/>
          <w:szCs w:val="21"/>
        </w:rPr>
        <w:t xml:space="preserve">Structurally identical to Agent 3 in Section 4.2. Low marginal cost once the RAG dual-corpus (G4) and agent orchestrator (G2) exist — this is a scheduling and aggregation task over existing /api/verify calls, not new retrieval infrastructure.</w:t>
      </w:r>
    </w:p>
    <w:p>
      <w:pPr>
        <w:pStyle w:val="Heading3"/>
        <w:spacing w:after="140" w:before="280"/>
      </w:pPr>
      <w:r>
        <w:rPr>
          <w:b/>
          <w:bCs/>
          <w:color w:val="333333"/>
        </w:rPr>
        <w:t xml:space="preserve">G8 — Vision pipeline</w:t>
      </w:r>
    </w:p>
    <w:p>
      <w:pPr>
        <w:spacing w:after="160"/>
      </w:pPr>
      <w:r>
        <w:rPr>
          <w:sz w:val="21"/>
          <w:szCs w:val="21"/>
        </w:rPr>
        <w:t xml:space="preserve">YOLOv8m and ByteTrack currently report inference_mode="degraded" because they need torch. Two honest options for a hackathon:</w:t>
      </w:r>
    </w:p>
    <w:p>
      <w:pPr>
        <w:pStyle w:val="ListParagraph"/>
        <w:numPr>
          <w:ilvl w:val="0"/>
          <w:numId w:val="2"/>
        </w:numPr>
        <w:spacing w:after="100"/>
      </w:pPr>
      <w:r>
        <w:rPr>
          <w:sz w:val="21"/>
          <w:szCs w:val="21"/>
        </w:rPr>
        <w:t xml:space="preserve">(a) Get a CPU-feasible path working (YOLOv8n, not m, at reduced accuracy, sufficient for a live demo on limited hardware) and clearly state the accuracy tradeoff.</w:t>
      </w:r>
    </w:p>
    <w:p>
      <w:pPr>
        <w:pStyle w:val="ListParagraph"/>
        <w:numPr>
          <w:ilvl w:val="0"/>
          <w:numId w:val="2"/>
        </w:numPr>
        <w:spacing w:after="100"/>
      </w:pPr>
      <w:r>
        <w:rPr>
          <w:sz w:val="21"/>
          <w:szCs w:val="21"/>
        </w:rPr>
        <w:t xml:space="preserve">(b) Leave it degraded and do not claim CCTV/vision capability in the pitch beyond “designed for, not yet load-bearing in this demo.”</w:t>
      </w:r>
    </w:p>
    <w:p>
      <w:pPr>
        <w:pBdr>
          <w:left w:val="single" w:color="2E5395" w:sz="24"/>
        </w:pBdr>
        <w:shd w:fill="F8D7DA" w:color="auto" w:val="clear"/>
        <w:spacing w:after="200" w:before="160"/>
        <w:ind w:left="200"/>
      </w:pPr>
      <w:r>
        <w:rPr>
          <w:b/>
          <w:bCs/>
          <w:color w:val="1F3864"/>
          <w:sz w:val="21"/>
          <w:szCs w:val="21"/>
        </w:rPr>
        <w:t xml:space="preserve">Risk:  </w:t>
      </w:r>
      <w:r>
        <w:rPr>
          <w:sz w:val="21"/>
          <w:szCs w:val="21"/>
        </w:rPr>
        <w:t xml:space="preserve">claiming a working vision pipeline that is actually returning degraded_reason in a live demo is a credibility risk if a judge inspects the Models view, which explicitly surfaces inference_mode.</w:t>
      </w:r>
    </w:p>
    <w:p>
      <w:pPr>
        <w:pStyle w:val="Heading3"/>
        <w:spacing w:after="140" w:before="280"/>
      </w:pPr>
      <w:r>
        <w:rPr>
          <w:b/>
          <w:bCs/>
          <w:color w:val="333333"/>
        </w:rPr>
        <w:t xml:space="preserve">G9 — Forecasting</w:t>
      </w:r>
    </w:p>
    <w:p>
      <w:pPr>
        <w:spacing w:after="160"/>
      </w:pPr>
      <w:r>
        <w:rPr>
          <w:sz w:val="21"/>
          <w:szCs w:val="21"/>
        </w:rPr>
        <w:t xml:space="preserve">Already scoped in the source project document, Section 4.1 (Prophet/SARIMA). No change to this document's assessment — the existing plan (forecasted events enter as information_class="P" and flow through the unchanged pipeline) is architecturally sound and requires no revision. Sequencing note: this is lower priority than G1–G6 for the hackathon because it does not address any currently-zero deliverable in the problem statement, whereas G1–G6 do.</w:t>
      </w:r>
    </w:p>
    <w:p>
      <w:pPr>
        <w:pStyle w:val="Heading1"/>
        <w:spacing w:after="240" w:before="480"/>
      </w:pPr>
      <w:r>
        <w:rPr>
          <w:b/>
          <w:bCs/>
          <w:color w:val="1F3864"/>
        </w:rPr>
        <w:t xml:space="preserve">10. Consolidated Data Model Changes</w:t>
      </w:r>
    </w:p>
    <w:p>
      <w:pPr>
        <w:spacing w:after="160"/>
      </w:pPr>
      <w:r>
        <w:rPr>
          <w:sz w:val="21"/>
          <w:szCs w:val="21"/>
        </w:rPr>
        <w:t xml:space="preserve">Summary of every schema addition specified above, for implementation reference:</w:t>
      </w:r>
    </w:p>
    <w:p>
      <w:pPr>
        <w:pBdr>
          <w:top w:val="single" w:color="CCCCCC" w:sz="4"/>
          <w:bottom w:val="single" w:color="CCCCCC" w:sz="4"/>
          <w:left w:val="single" w:color="CCCCCC" w:sz="4"/>
          <w:right w:val="single" w:color="CCCCCC" w:sz="4"/>
        </w:pBdr>
        <w:shd w:fill="F5F5F5" w:color="auto" w:val="clear"/>
        <w:spacing w:after="200" w:before="120"/>
      </w:pPr>
      <w:r>
        <w:rPr>
          <w:rFonts w:ascii="Consolas" w:cs="Consolas" w:eastAsia="Consolas" w:hAnsi="Consolas"/>
          <w:sz w:val="18"/>
          <w:szCs w:val="18"/>
        </w:rPr>
        <w:t xml:space="preserve">CandidateIntervention:</w:t>
      </w:r>
      <w:r>
        <w:rPr>
          <w:rFonts w:ascii="Consolas" w:cs="Consolas" w:eastAsia="Consolas" w:hAnsi="Consolas"/>
          <w:sz w:val="18"/>
          <w:szCs w:val="18"/>
        </w:rPr>
        <w:br/>
        <w:t xml:space="preserve">  + barrier_role: Literal["preventive", "mitigative"]</w:t>
      </w:r>
      <w:r>
        <w:rPr>
          <w:rFonts w:ascii="Consolas" w:cs="Consolas" w:eastAsia="Consolas" w:hAnsi="Consolas"/>
          <w:sz w:val="18"/>
          <w:szCs w:val="18"/>
        </w:rPr>
        <w:br/>
        <w:t xml:space="preserve"> </w:t>
      </w:r>
      <w:r>
        <w:rPr>
          <w:rFonts w:ascii="Consolas" w:cs="Consolas" w:eastAsia="Consolas" w:hAnsi="Consolas"/>
          <w:sz w:val="18"/>
          <w:szCs w:val="18"/>
        </w:rPr>
        <w:br/>
        <w:t xml:space="preserve">AccidentPath:</w:t>
      </w:r>
      <w:r>
        <w:rPr>
          <w:rFonts w:ascii="Consolas" w:cs="Consolas" w:eastAsia="Consolas" w:hAnsi="Consolas"/>
          <w:sz w:val="18"/>
          <w:szCs w:val="18"/>
        </w:rPr>
        <w:br/>
        <w:t xml:space="preserve">  + top_event: str</w:t>
      </w:r>
      <w:r>
        <w:rPr>
          <w:rFonts w:ascii="Consolas" w:cs="Consolas" w:eastAsia="Consolas" w:hAnsi="Consolas"/>
          <w:sz w:val="18"/>
          <w:szCs w:val="18"/>
        </w:rPr>
        <w:br/>
        <w:t xml:space="preserve">  + similar_incidents: List[IncidentReference]      # populated by Agent 2</w:t>
      </w:r>
      <w:r>
        <w:rPr>
          <w:rFonts w:ascii="Consolas" w:cs="Consolas" w:eastAsia="Consolas" w:hAnsi="Consolas"/>
          <w:sz w:val="18"/>
          <w:szCs w:val="18"/>
        </w:rPr>
        <w:br/>
        <w:t xml:space="preserve"> </w:t>
      </w:r>
      <w:r>
        <w:rPr>
          <w:rFonts w:ascii="Consolas" w:cs="Consolas" w:eastAsia="Consolas" w:hAnsi="Consolas"/>
          <w:sz w:val="18"/>
          <w:szCs w:val="18"/>
        </w:rPr>
        <w:br/>
        <w:t xml:space="preserve">BowTie (new):</w:t>
      </w:r>
      <w:r>
        <w:rPr>
          <w:rFonts w:ascii="Consolas" w:cs="Consolas" w:eastAsia="Consolas" w:hAnsi="Consolas"/>
          <w:sz w:val="18"/>
          <w:szCs w:val="18"/>
        </w:rPr>
        <w:br/>
        <w:t xml:space="preserve">  hazard_id, top_event, threats, preventive_barriers,</w:t>
      </w:r>
      <w:r>
        <w:rPr>
          <w:rFonts w:ascii="Consolas" w:cs="Consolas" w:eastAsia="Consolas" w:hAnsi="Consolas"/>
          <w:sz w:val="18"/>
          <w:szCs w:val="18"/>
        </w:rPr>
        <w:br/>
        <w:t xml:space="preserve">  mitigative_barriers, consequences, source_reference</w:t>
      </w:r>
      <w:r>
        <w:rPr>
          <w:rFonts w:ascii="Consolas" w:cs="Consolas" w:eastAsia="Consolas" w:hAnsi="Consolas"/>
          <w:sz w:val="18"/>
          <w:szCs w:val="18"/>
        </w:rPr>
        <w:br/>
        <w:t xml:space="preserve"> </w:t>
      </w:r>
      <w:r>
        <w:rPr>
          <w:rFonts w:ascii="Consolas" w:cs="Consolas" w:eastAsia="Consolas" w:hAnsi="Consolas"/>
          <w:sz w:val="18"/>
          <w:szCs w:val="18"/>
        </w:rPr>
        <w:br/>
        <w:t xml:space="preserve">Barrier (extends existing barrier node):</w:t>
      </w:r>
      <w:r>
        <w:rPr>
          <w:rFonts w:ascii="Consolas" w:cs="Consolas" w:eastAsia="Consolas" w:hAnsi="Consolas"/>
          <w:sz w:val="18"/>
          <w:szCs w:val="18"/>
        </w:rPr>
        <w:br/>
        <w:t xml:space="preserve">  + last_proof_test: datetime</w:t>
      </w:r>
      <w:r>
        <w:rPr>
          <w:rFonts w:ascii="Consolas" w:cs="Consolas" w:eastAsia="Consolas" w:hAnsi="Consolas"/>
          <w:sz w:val="18"/>
          <w:szCs w:val="18"/>
        </w:rPr>
        <w:br/>
        <w:t xml:space="preserve">  + proof_test_interval: timedelta</w:t>
      </w:r>
      <w:r>
        <w:rPr>
          <w:rFonts w:ascii="Consolas" w:cs="Consolas" w:eastAsia="Consolas" w:hAnsi="Consolas"/>
          <w:sz w:val="18"/>
          <w:szCs w:val="18"/>
        </w:rPr>
        <w:br/>
        <w:t xml:space="preserve">  + bypass_active: bool</w:t>
      </w:r>
      <w:r>
        <w:rPr>
          <w:rFonts w:ascii="Consolas" w:cs="Consolas" w:eastAsia="Consolas" w:hAnsi="Consolas"/>
          <w:sz w:val="18"/>
          <w:szCs w:val="18"/>
        </w:rPr>
        <w:br/>
        <w:t xml:space="preserve">  + demand_count_since_test: int</w:t>
      </w:r>
      <w:r>
        <w:rPr>
          <w:rFonts w:ascii="Consolas" w:cs="Consolas" w:eastAsia="Consolas" w:hAnsi="Consolas"/>
          <w:sz w:val="18"/>
          <w:szCs w:val="18"/>
        </w:rPr>
        <w:br/>
        <w:t xml:space="preserve">  + health_status: Literal["healthy","degraded","impaired"]   # derived</w:t>
      </w:r>
      <w:r>
        <w:rPr>
          <w:rFonts w:ascii="Consolas" w:cs="Consolas" w:eastAsia="Consolas" w:hAnsi="Consolas"/>
          <w:sz w:val="18"/>
          <w:szCs w:val="18"/>
        </w:rPr>
        <w:br/>
        <w:t xml:space="preserve"> </w:t>
      </w:r>
      <w:r>
        <w:rPr>
          <w:rFonts w:ascii="Consolas" w:cs="Consolas" w:eastAsia="Consolas" w:hAnsi="Consolas"/>
          <w:sz w:val="18"/>
          <w:szCs w:val="18"/>
        </w:rPr>
        <w:br/>
        <w:t xml:space="preserve">SpatialZone (new):</w:t>
      </w:r>
      <w:r>
        <w:rPr>
          <w:rFonts w:ascii="Consolas" w:cs="Consolas" w:eastAsia="Consolas" w:hAnsi="Consolas"/>
          <w:sz w:val="18"/>
          <w:szCs w:val="18"/>
        </w:rPr>
        <w:br/>
        <w:t xml:space="preserve">  zone_id, polygon_points: List[Point2D], image_ref,</w:t>
      </w:r>
      <w:r>
        <w:rPr>
          <w:rFonts w:ascii="Consolas" w:cs="Consolas" w:eastAsia="Consolas" w:hAnsi="Consolas"/>
          <w:sz w:val="18"/>
          <w:szCs w:val="18"/>
        </w:rPr>
        <w:br/>
        <w:t xml:space="preserve">  scale_reference: Optional[float], scale_confidence: Literal["calibrated","assumed"]</w:t>
      </w:r>
      <w:r>
        <w:rPr>
          <w:rFonts w:ascii="Consolas" w:cs="Consolas" w:eastAsia="Consolas" w:hAnsi="Consolas"/>
          <w:sz w:val="18"/>
          <w:szCs w:val="18"/>
        </w:rPr>
        <w:br/>
        <w:t xml:space="preserve"> </w:t>
      </w:r>
      <w:r>
        <w:rPr>
          <w:rFonts w:ascii="Consolas" w:cs="Consolas" w:eastAsia="Consolas" w:hAnsi="Consolas"/>
          <w:sz w:val="18"/>
          <w:szCs w:val="18"/>
        </w:rPr>
        <w:br/>
        <w:t xml:space="preserve">IncidentReference (new):</w:t>
      </w:r>
      <w:r>
        <w:rPr>
          <w:rFonts w:ascii="Consolas" w:cs="Consolas" w:eastAsia="Consolas" w:hAnsi="Consolas"/>
          <w:sz w:val="18"/>
          <w:szCs w:val="18"/>
        </w:rPr>
        <w:br/>
        <w:t xml:space="preserve">  incident_id, source, similarity_score, summary</w:t>
      </w:r>
    </w:p>
    <w:p>
      <w:pPr>
        <w:spacing w:after="160"/>
      </w:pPr>
      <w:r>
        <w:rPr>
          <w:sz w:val="21"/>
          <w:szCs w:val="21"/>
        </w:rPr>
        <w:t xml:space="preserve">No existing field is removed or renamed in a breaking way. Every change is additive to preserve the existing 28-test-module suite and the 26 scenario fixtures without requiring a parallel rewrite of test infrastructure.</w:t>
      </w:r>
    </w:p>
    <w:p>
      <w:pPr>
        <w:pStyle w:val="Heading1"/>
        <w:spacing w:after="240" w:before="480"/>
      </w:pPr>
      <w:r>
        <w:rPr>
          <w:b/>
          <w:bCs/>
          <w:color w:val="1F3864"/>
        </w:rPr>
        <w:t xml:space="preserve">11. Sequencing Plan for Hackathon Timeframe</w:t>
      </w:r>
    </w:p>
    <w:p>
      <w:pPr>
        <w:spacing w:after="160"/>
      </w:pPr>
      <w:r>
        <w:rPr>
          <w:sz w:val="21"/>
          <w:szCs w:val="21"/>
        </w:rPr>
        <w:t xml:space="preserve">Given a compressed build window, recommended order:</w:t>
      </w:r>
    </w:p>
    <w:p>
      <w:pPr>
        <w:pStyle w:val="Heading2"/>
        <w:spacing w:after="180" w:before="360"/>
      </w:pPr>
      <w:r>
        <w:rPr>
          <w:b/>
          <w:bCs/>
          <w:color w:val="2E5395"/>
        </w:rPr>
        <w:t xml:space="preserve">Phase 1 — highest leverage, lowest cost</w:t>
      </w:r>
    </w:p>
    <w:p>
      <w:pPr>
        <w:pStyle w:val="ListParagraph"/>
        <w:numPr>
          <w:ilvl w:val="0"/>
          <w:numId w:val="2"/>
        </w:numPr>
        <w:spacing w:after="100"/>
      </w:pPr>
      <w:r>
        <w:rPr>
          <w:sz w:val="21"/>
          <w:szCs w:val="21"/>
        </w:rPr>
        <w:t xml:space="preserve">G1 — bow-tie relabeling and source_reference/barrier_role fields (schema-only, no logic change)</w:t>
      </w:r>
    </w:p>
    <w:p>
      <w:pPr>
        <w:pStyle w:val="ListParagraph"/>
        <w:numPr>
          <w:ilvl w:val="0"/>
          <w:numId w:val="2"/>
        </w:numPr>
        <w:spacing w:after="100"/>
      </w:pPr>
      <w:r>
        <w:rPr>
          <w:sz w:val="21"/>
          <w:szCs w:val="21"/>
        </w:rPr>
        <w:t xml:space="preserve">G3 — geospatial overlay, since Blueprint Canvas and the risk propagator already exist; primarily a frontend rendering change plus one new table</w:t>
      </w:r>
    </w:p>
    <w:p>
      <w:pPr>
        <w:pStyle w:val="Heading2"/>
        <w:spacing w:after="180" w:before="360"/>
      </w:pPr>
      <w:r>
        <w:rPr>
          <w:b/>
          <w:bCs/>
          <w:color w:val="2E5395"/>
        </w:rPr>
        <w:t xml:space="preserve">Phase 2 — new but bounded infrastructure</w:t>
      </w:r>
    </w:p>
    <w:p>
      <w:pPr>
        <w:pStyle w:val="ListParagraph"/>
        <w:numPr>
          <w:ilvl w:val="0"/>
          <w:numId w:val="2"/>
        </w:numPr>
        <w:spacing w:after="100"/>
      </w:pPr>
      <w:r>
        <w:rPr>
          <w:sz w:val="21"/>
          <w:szCs w:val="21"/>
        </w:rPr>
        <w:t xml:space="preserve">G4 — incident RAG corpus (reuses 100% of existing RAG service code)</w:t>
      </w:r>
    </w:p>
    <w:p>
      <w:pPr>
        <w:pStyle w:val="ListParagraph"/>
        <w:numPr>
          <w:ilvl w:val="0"/>
          <w:numId w:val="2"/>
        </w:numPr>
        <w:spacing w:after="100"/>
      </w:pPr>
      <w:r>
        <w:rPr>
          <w:sz w:val="21"/>
          <w:szCs w:val="21"/>
        </w:rPr>
        <w:t xml:space="preserve">G2, Agent 1 only — response drafting (highest-visibility agentic component for the demo, directly answers “Emergency Response Orchestrator”)</w:t>
      </w:r>
    </w:p>
    <w:p>
      <w:pPr>
        <w:pStyle w:val="Heading2"/>
        <w:spacing w:after="180" w:before="360"/>
      </w:pPr>
      <w:r>
        <w:rPr>
          <w:b/>
          <w:bCs/>
          <w:color w:val="2E5395"/>
        </w:rPr>
        <w:t xml:space="preserve">Phase 3 — if time remains</w:t>
      </w:r>
    </w:p>
    <w:p>
      <w:pPr>
        <w:pStyle w:val="ListParagraph"/>
        <w:numPr>
          <w:ilvl w:val="0"/>
          <w:numId w:val="2"/>
        </w:numPr>
        <w:spacing w:after="100"/>
      </w:pPr>
      <w:r>
        <w:rPr>
          <w:sz w:val="21"/>
          <w:szCs w:val="21"/>
        </w:rPr>
        <w:t xml:space="preserve">G2, Agents 2–3 — pattern mining and compliance scorecard</w:t>
      </w:r>
    </w:p>
    <w:p>
      <w:pPr>
        <w:pStyle w:val="ListParagraph"/>
        <w:numPr>
          <w:ilvl w:val="0"/>
          <w:numId w:val="2"/>
        </w:numPr>
        <w:spacing w:after="100"/>
      </w:pPr>
      <w:r>
        <w:rPr>
          <w:sz w:val="21"/>
          <w:szCs w:val="21"/>
        </w:rPr>
        <w:t xml:space="preserve">G6 — live barrier health</w:t>
      </w:r>
    </w:p>
    <w:p>
      <w:pPr>
        <w:pStyle w:val="ListParagraph"/>
        <w:numPr>
          <w:ilvl w:val="0"/>
          <w:numId w:val="2"/>
        </w:numPr>
        <w:spacing w:after="100"/>
      </w:pPr>
      <w:r>
        <w:rPr>
          <w:sz w:val="21"/>
          <w:szCs w:val="21"/>
        </w:rPr>
        <w:t xml:space="preserve">G8 — vision pipeline CPU path, only if a working demo is achievable; otherwise state as roadmap</w:t>
      </w:r>
    </w:p>
    <w:p>
      <w:pPr>
        <w:pBdr>
          <w:left w:val="single" w:color="2E5395" w:sz="24"/>
        </w:pBdr>
        <w:shd w:fill="EEF2F8" w:color="auto" w:val="clear"/>
        <w:spacing w:after="200" w:before="160"/>
        <w:ind w:left="200"/>
      </w:pPr>
      <w:r>
        <w:rPr>
          <w:b/>
          <w:bCs/>
          <w:color w:val="1F3864"/>
          <w:sz w:val="21"/>
          <w:szCs w:val="21"/>
        </w:rPr>
        <w:t xml:space="preserve">Explicitly deferred:  </w:t>
      </w:r>
      <w:r>
        <w:rPr>
          <w:sz w:val="21"/>
          <w:szCs w:val="21"/>
        </w:rPr>
        <w:t xml:space="preserve">G9 (forecasting) is already well-specified in the existing project document and does not need re-litigating here; correctly scoped as future work.</w:t>
      </w:r>
    </w:p>
    <w:p>
      <w:pPr>
        <w:pStyle w:val="Heading1"/>
        <w:spacing w:after="240" w:before="480"/>
      </w:pPr>
      <w:r>
        <w:rPr>
          <w:b/>
          <w:bCs/>
          <w:color w:val="1F3864"/>
        </w:rPr>
        <w:t xml:space="preserve">12. What Not to Change</w:t>
      </w:r>
    </w:p>
    <w:p>
      <w:pPr>
        <w:spacing w:after="160"/>
      </w:pPr>
      <w:r>
        <w:rPr>
          <w:sz w:val="21"/>
          <w:szCs w:val="21"/>
        </w:rPr>
        <w:t xml:space="preserve">For completeness and to avoid scope creep during implementation: the following components are correctly designed as-is and should not be touched.</w:t>
      </w:r>
    </w:p>
    <w:p>
      <w:pPr>
        <w:pStyle w:val="ListParagraph"/>
        <w:numPr>
          <w:ilvl w:val="0"/>
          <w:numId w:val="2"/>
        </w:numPr>
        <w:spacing w:after="100"/>
      </w:pPr>
      <w:r>
        <w:rPr>
          <w:sz w:val="21"/>
          <w:szCs w:val="21"/>
        </w:rPr>
        <w:t xml:space="preserve">MinimumCausalCutOptimiser (CP-SAT hitting-set formulation) — this is the project's strongest, most defensible technical differentiator relative to every commercial competitor surveyed (Enablon, SmartQHSE, Sphera, Yokogawa ProSafe-RS) — none of them automatically solves for a minimum-cost intervention set; they visualize barrier status and let a human decide. Do not weaken this into an LLM-suggested action list under pressure to “make it more agentic” — the deterministic optimality guarantee is the point.</w:t>
      </w:r>
    </w:p>
    <w:p>
      <w:pPr>
        <w:pStyle w:val="ListParagraph"/>
        <w:numPr>
          <w:ilvl w:val="0"/>
          <w:numId w:val="2"/>
        </w:numPr>
        <w:spacing w:after="100"/>
      </w:pPr>
      <w:r>
        <w:rPr>
          <w:sz w:val="21"/>
          <w:szCs w:val="21"/>
        </w:rPr>
        <w:t xml:space="preserve">Fail-closed pipeline design (Stage 1–5) — halting on validation/state-projection failure rather than computing a cut on partial state is correct and should be preserved through every change above; the new agent orchestrator is explicitly designed (Section 4.3) to sit outside this critical path for exactly this reason.</w:t>
      </w:r>
    </w:p>
    <w:p>
      <w:pPr>
        <w:pStyle w:val="ListParagraph"/>
        <w:numPr>
          <w:ilvl w:val="0"/>
          <w:numId w:val="2"/>
        </w:numPr>
        <w:spacing w:after="100"/>
      </w:pPr>
      <w:r>
        <w:rPr>
          <w:sz w:val="21"/>
          <w:szCs w:val="21"/>
        </w:rPr>
        <w:t xml:space="preserve">Information Classification Framework (M/P/S/C/R/H) — this is already the correct abstraction for every new data source introduced above (synthetic incident corpus tagged [S], forecasted events tagged [P], uncalibrated blueprint coordinates tagged [S]). Extend its use; do not introduce a parallel tagging scheme.</w:t>
      </w:r>
    </w:p>
    <w:p>
      <w:pPr>
        <w:pStyle w:val="ListParagraph"/>
        <w:numPr>
          <w:ilvl w:val="0"/>
          <w:numId w:val="2"/>
        </w:numPr>
        <w:spacing w:after="100"/>
      </w:pPr>
      <w:r>
        <w:rPr>
          <w:sz w:val="21"/>
          <w:szCs w:val="21"/>
        </w:rPr>
        <w:t xml:space="preserve">Human-in-the-loop approval gateway and hash-chained audit log — every new agentic capability (G2, G5) is designed to feed this gate, not bypass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2026-08-23T17:05:28.257Z</dcterms:created>
  <dcterms:modified xsi:type="dcterms:W3CDTF">2026-08-23T17:05:28.258Z</dcterms:modified>
</cp:coreProperties>
</file>

<file path=docProps/custom.xml><?xml version="1.0" encoding="utf-8"?>
<Properties xmlns="http://schemas.openxmlformats.org/officeDocument/2006/custom-properties" xmlns:vt="http://schemas.openxmlformats.org/officeDocument/2006/docPropsVTypes"/>
</file>