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F2A44"/>
          <w:sz w:val="40"/>
        </w:rPr>
        <w:t>PulsePoint AI RAG Methodology</w:t>
      </w:r>
    </w:p>
    <w:p>
      <w:pPr>
        <w:spacing w:after="120"/>
      </w:pPr>
      <w:r>
        <w:rPr>
          <w:color w:val="5C6470"/>
          <w:sz w:val="20"/>
        </w:rPr>
        <w:t>Transparent project-health scoring for executive delivery oversight</w:t>
      </w:r>
    </w:p>
    <w:p>
      <w:pPr>
        <w:spacing w:before="160" w:after="60"/>
      </w:pPr>
      <w:r>
        <w:rPr>
          <w:b/>
          <w:color w:val="1F2A44"/>
          <w:sz w:val="22"/>
        </w:rPr>
        <w:t>Purpose</w:t>
      </w:r>
    </w:p>
    <w:p>
      <w:pPr>
        <w:spacing w:line="252" w:lineRule="auto" w:after="80"/>
      </w:pPr>
      <w:r>
        <w:t>PulsePoint AI converts weekly project data into a Red/Amber/Green health status that delivery leaders can trust. The status is calculated from explicit signals, weights, thresholds, and override rules; the reasoning layer explains the fixed result and recommends action.</w:t>
      </w:r>
    </w:p>
    <w:p>
      <w:pPr>
        <w:spacing w:before="160" w:after="60"/>
      </w:pPr>
      <w:r>
        <w:rPr>
          <w:b/>
          <w:color w:val="1F2A44"/>
          <w:sz w:val="22"/>
        </w:rPr>
        <w:t>Core Signals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pPr>
              <w:spacing w:after="20"/>
            </w:pPr>
            <w:r>
              <w:rPr>
                <w:b/>
              </w:rPr>
              <w:t xml:space="preserve">Schedule variance: </w:t>
            </w:r>
            <w:r>
              <w:t>Actual progress compared with expected progress from elapsed time.</w:t>
            </w:r>
          </w:p>
        </w:tc>
        <w:tc>
          <w:tcPr>
            <w:tcW w:type="dxa" w:w="5090"/>
          </w:tcPr>
          <w:p>
            <w:pPr>
              <w:spacing w:after="20"/>
            </w:pPr>
            <w:r>
              <w:rPr>
                <w:b/>
              </w:rPr>
              <w:t xml:space="preserve">Blocker severity: </w:t>
            </w:r>
            <w:r>
              <w:t>Open risks weighted by severity and age.</w:t>
            </w:r>
          </w:p>
        </w:tc>
      </w:tr>
      <w:tr>
        <w:tc>
          <w:tcPr>
            <w:tcW w:type="dxa" w:w="5090"/>
          </w:tcPr>
          <w:p>
            <w:pPr>
              <w:spacing w:after="20"/>
            </w:pPr>
            <w:r>
              <w:rPr>
                <w:b/>
              </w:rPr>
              <w:t xml:space="preserve">Budget burn ratio: </w:t>
            </w:r>
            <w:r>
              <w:t>Budget spent relative to delivered work.</w:t>
            </w:r>
          </w:p>
        </w:tc>
        <w:tc>
          <w:tcPr>
            <w:tcW w:type="dxa" w:w="5090"/>
          </w:tcPr>
          <w:p>
            <w:pPr>
              <w:spacing w:after="20"/>
            </w:pPr>
            <w:r>
              <w:rPr>
                <w:b/>
              </w:rPr>
              <w:t xml:space="preserve">Stakeholder sentiment: </w:t>
            </w:r>
            <w:r>
              <w:t>PM or client tone extracted from commentary.</w:t>
            </w:r>
          </w:p>
        </w:tc>
      </w:tr>
      <w:tr>
        <w:tc>
          <w:tcPr>
            <w:tcW w:type="dxa" w:w="5090"/>
          </w:tcPr>
          <w:p>
            <w:pPr>
              <w:spacing w:after="20"/>
            </w:pPr>
            <w:r>
              <w:rPr>
                <w:b/>
              </w:rPr>
              <w:t xml:space="preserve">Milestone health: </w:t>
            </w:r>
            <w:r>
              <w:t>Overdue milestones and near-term commitments at risk.</w:t>
            </w:r>
          </w:p>
        </w:tc>
        <w:tc>
          <w:tcPr>
            <w:tcW w:type="dxa" w:w="5090"/>
          </w:tcPr>
          <w:p>
            <w:pPr>
              <w:spacing w:after="20"/>
            </w:pPr>
            <w:r>
              <w:rPr>
                <w:b/>
              </w:rPr>
              <w:t xml:space="preserve">Scope stability: </w:t>
            </w:r>
            <w:r>
              <w:t>Scope churn applied as a penalty rather than a base score.</w:t>
            </w:r>
          </w:p>
        </w:tc>
      </w:tr>
    </w:tbl>
    <w:p>
      <w:pPr>
        <w:spacing w:before="160" w:after="60"/>
      </w:pPr>
      <w:r>
        <w:rPr>
          <w:b/>
          <w:color w:val="1F2A44"/>
          <w:sz w:val="22"/>
        </w:rPr>
        <w:t>Scoring Model</w:t>
      </w:r>
    </w:p>
    <w:p>
      <w:pPr>
        <w:spacing w:line="252" w:lineRule="auto"/>
      </w:pPr>
      <w:r>
        <w:t>Each signal is normalized to a 0-100 sub-score, where 100 is healthiest. If optional data is missing, its weight is redistributed across available signals. Missing information lowers confidence rather than automatically punishing the project.</w:t>
      </w:r>
    </w:p>
    <w:p>
      <w:pPr>
        <w:spacing w:before="40" w:after="80"/>
        <w:ind w:left="259"/>
      </w:pPr>
      <w:r>
        <w:rPr>
          <w:b/>
          <w:color w:val="2F6FED"/>
        </w:rPr>
        <w:t>Composite = 0.25 Schedule + 0.25 Budget + 0.20 Milestones + 0.20 Blockers + 0.10 Sentiment + Scope Penalty</w:t>
      </w:r>
    </w:p>
    <w:p>
      <w:pPr>
        <w:spacing w:before="160" w:after="60"/>
      </w:pPr>
      <w:r>
        <w:rPr>
          <w:b/>
          <w:color w:val="1F2A44"/>
          <w:sz w:val="22"/>
        </w:rPr>
        <w:t>RAG Interpretation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94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394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94"/>
          </w:tcPr>
          <w:p>
            <w:r>
              <w:t>Green</w:t>
            </w:r>
          </w:p>
        </w:tc>
        <w:tc>
          <w:tcPr>
            <w:tcW w:type="dxa" w:w="3394"/>
          </w:tcPr>
          <w:p>
            <w:r>
              <w:t>75-100</w:t>
            </w:r>
          </w:p>
        </w:tc>
        <w:tc>
          <w:tcPr>
            <w:tcW w:type="dxa" w:w="3394"/>
          </w:tcPr>
          <w:p>
            <w:r>
              <w:t>On track; no material intervention required.</w:t>
            </w:r>
          </w:p>
        </w:tc>
      </w:tr>
      <w:tr>
        <w:tc>
          <w:tcPr>
            <w:tcW w:type="dxa" w:w="3394"/>
          </w:tcPr>
          <w:p>
            <w:r>
              <w:t>Amber</w:t>
            </w:r>
          </w:p>
        </w:tc>
        <w:tc>
          <w:tcPr>
            <w:tcW w:type="dxa" w:w="3394"/>
          </w:tcPr>
          <w:p>
            <w:r>
              <w:t>50-74</w:t>
            </w:r>
          </w:p>
        </w:tc>
        <w:tc>
          <w:tcPr>
            <w:tcW w:type="dxa" w:w="3394"/>
          </w:tcPr>
          <w:p>
            <w:r>
              <w:t>At risk; needs management attention this week.</w:t>
            </w:r>
          </w:p>
        </w:tc>
      </w:tr>
      <w:tr>
        <w:tc>
          <w:tcPr>
            <w:tcW w:type="dxa" w:w="3394"/>
          </w:tcPr>
          <w:p>
            <w:r>
              <w:t>Red</w:t>
            </w:r>
          </w:p>
        </w:tc>
        <w:tc>
          <w:tcPr>
            <w:tcW w:type="dxa" w:w="3394"/>
          </w:tcPr>
          <w:p>
            <w:r>
              <w:t>0-49</w:t>
            </w:r>
          </w:p>
        </w:tc>
        <w:tc>
          <w:tcPr>
            <w:tcW w:type="dxa" w:w="3394"/>
          </w:tcPr>
          <w:p>
            <w:r>
              <w:t>Off track; active intervention required.</w:t>
            </w:r>
          </w:p>
        </w:tc>
      </w:tr>
    </w:tbl>
    <w:p>
      <w:pPr>
        <w:spacing w:line="252" w:lineRule="auto"/>
      </w:pPr>
      <w:r>
        <w:t>Override rules prevent severe risks from being hidden by averages. A critical blocker open more than 14 days or budget burn above 1.5x can force escalation.</w:t>
      </w:r>
    </w:p>
    <w:p>
      <w:pPr>
        <w:spacing w:before="160" w:after="60"/>
      </w:pPr>
      <w:r>
        <w:rPr>
          <w:b/>
          <w:color w:val="1F2A44"/>
          <w:sz w:val="22"/>
        </w:rPr>
        <w:t>Data Quality Rules</w:t>
      </w:r>
    </w:p>
    <w:p>
      <w:pPr>
        <w:pStyle w:val="ListBullet"/>
        <w:spacing w:after="20"/>
        <w:ind w:left="259"/>
      </w:pPr>
      <w:r>
        <w:t>Fuzzy field matching handles variants such as % Complete, PercentComplete, and pct_done.</w:t>
      </w:r>
    </w:p>
    <w:p>
      <w:pPr>
        <w:pStyle w:val="ListBullet"/>
        <w:spacing w:after="20"/>
        <w:ind w:left="259"/>
      </w:pPr>
      <w:r>
        <w:t>Bad rows are returned as parse warnings instead of being silently dropped.</w:t>
      </w:r>
    </w:p>
    <w:p>
      <w:pPr>
        <w:pStyle w:val="ListBullet"/>
        <w:spacing w:after="20"/>
        <w:ind w:left="259"/>
      </w:pPr>
      <w:r>
        <w:t>Missing dates or budgets are treated as unknown where appropriate.</w:t>
      </w:r>
    </w:p>
    <w:p>
      <w:pPr>
        <w:pStyle w:val="ListBullet"/>
        <w:spacing w:after="20"/>
        <w:ind w:left="259"/>
      </w:pPr>
      <w:r>
        <w:t>A data confidence percentage is shown beside every RAG status.</w:t>
      </w:r>
    </w:p>
    <w:p>
      <w:pPr>
        <w:spacing w:before="160" w:after="60"/>
      </w:pPr>
      <w:r>
        <w:rPr>
          <w:b/>
          <w:color w:val="1F2A44"/>
          <w:sz w:val="22"/>
        </w:rPr>
        <w:t>Why This Is Trustworthy</w:t>
      </w:r>
    </w:p>
    <w:p>
      <w:pPr>
        <w:spacing w:line="252" w:lineRule="auto"/>
      </w:pPr>
      <w:r>
        <w:t>The score is reproducible from structured inputs and scoring_config.yaml. The reasoning layer cannot change the score; it can only explain it using read-only evidence. Weekly reports include sub-scores, confidence, warnings, risks, actions, and a reasoning trace.</w:t>
      </w:r>
    </w:p>
    <w:p>
      <w:pPr>
        <w:sectPr>
          <w:footerReference w:type="default" r:id="rId9"/>
          <w:pgSz w:w="11909" w:h="16834"/>
          <w:pgMar w:top="792" w:right="864" w:bottom="720" w:left="86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1909" w:h="16834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PulsePoint AI | RAG Methodology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