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rPr>
          <w:rFonts w:ascii="Arial" w:cs="Arial" w:eastAsia="Arial" w:hAnsi="Arial"/>
          <w:b/>
          <w:bCs/>
          <w:sz w:val="48"/>
          <w:szCs w:val="48"/>
        </w:rPr>
        <w:t xml:space="preserve">SurakshaSetu: AI-powered federated UBID platform for secure business identity and real-time intelligence</w:t>
      </w:r>
    </w:p>
    <w:p>
      <w:pPr>
        <w:pStyle w:val="Heading1"/>
      </w:pPr>
      <w:r>
        <w:rPr>
          <w:b/>
          <w:bCs/>
        </w:rPr>
        <w:t xml:space="preserve">1. Problem Statement and Need</w:t>
      </w:r>
    </w:p>
    <w:p>
      <w:pPr>
        <w:spacing w:after="200"/>
      </w:pPr>
      <w:r>
        <w:t xml:space="preserve">Karnataka's regulatory ecosystem has grown organically over decades. Each of the 40+ department systems — Shop Establishment, Factories, Labour, KSPCB, BESCOM, BWSSB, Fire, Food Safety, and the rest — was built independently, by different teams, at different times, with different goals. The result is not a unified picture of Karnataka's businesses. It is 40+ isolated snapshots, each describing the same real world in a different language.</w:t>
      </w:r>
    </w:p>
    <w:p>
      <w:pPr>
        <w:spacing w:after="200"/>
      </w:pPr>
      <w:r>
        <w:t xml:space="preserve">The root problem is the absence of a shared identity. When a factory in Peenya registers with the Factories department, it gets a Factories ID. When the same factory registers with KSPCB, it gets a separate KSPCB consent number. When it applies for a Shop Establishment licence, it gets yet another number. The business name might be stored as "Precision Auto Parts Pvt Ltd" in one system, "Precision Auto Parts" in another, and "PAP Pvt. Ltd." in a third. The address could be "Plot 14, Peenya Industrial Area, Phase 2" in one and "14, Peenya Phase II" in another. There is no common key that says these three records are all the same business.</w:t>
      </w:r>
    </w:p>
    <w:p>
      <w:pPr>
        <w:spacing w:after="200"/>
      </w:pPr>
      <w:r>
        <w:t xml:space="preserve">PAN and GSTIN exist as natural anchors, but they are only partially captured in state systems, and even where they are captured, they are not consistently used as join keys. So even the one bridge that could connect state data to central identifiers is unreliable.</w:t>
      </w:r>
    </w:p>
    <w:p>
      <w:pPr>
        <w:spacing w:after="200"/>
      </w:pPr>
      <w:r>
        <w:t xml:space="preserve">This is not just a data engineering inconvenience. It means Karnataka Commerce &amp; Industries cannot answer basic operational questions: How many businesses are actually operating in a given pin code? Which factories haven't had an inspection in 18 months? Which businesses have gone dormant since last year? Which KSPCB-consented units are no longer paying electricity bills, suggesting they may have closed? These questions sound simple. They are currently unanswerable.</w:t>
      </w:r>
    </w:p>
    <w:p>
      <w:pPr>
        <w:spacing w:after="200"/>
      </w:pPr>
      <w:r>
        <w:t xml:space="preserve">The second layer of the problem — and this is where the real operational value lies — is activity inference. Even if you solve identity (knowing that record A and record B are the same business), you still don't know if that business is alive. A business might have a valid licence on paper but have filed no compliance documents, consumed no power, and had no inspections in two years. Is it active? Dormant? Closed? Right now there is no way to aggregate the signals from different systems to answer that question for any individual business.</w:t>
      </w:r>
    </w:p>
    <w:p>
      <w:pPr>
        <w:spacing w:after="200"/>
      </w:pPr>
      <w:r>
        <w:t xml:space="preserve">The constraint that makes this hard — and what separates a real solution from a theoretical one — is that the source systems cannot be touched. No schema changes, no new fields, no API wrappers pushed into department systems, no big-bang migration. The solution must work entirely on the outside, reading what already exists, and producing intelligence without disturbing anything upstream.</w:t>
      </w:r>
    </w:p>
    <w:p>
      <w:pPr>
        <w:pStyle w:val="Heading1"/>
      </w:pPr>
      <w:r>
        <w:rPr>
          <w:b/>
          <w:bCs/>
        </w:rPr>
        <w:t xml:space="preserve">2. Solution Overview</w:t>
      </w:r>
    </w:p>
    <w:p>
      <w:pPr>
        <w:spacing w:after="200"/>
      </w:pPr>
      <w:r>
        <w:t xml:space="preserve">The platform is built around one foundational idea: instead of trying to unify the source systems, we build a resolution layer that lives above them and maintains its own identity graph. Source systems stay exactly as they are. The platform reads from them (via scheduled extracts or event streams), does all the hard work of linking and inference in its own space, and exposes results through its own APIs and interfaces.</w:t>
      </w:r>
    </w:p>
    <w:p>
      <w:pPr>
        <w:spacing w:after="120"/>
      </w:pPr>
      <w:r>
        <w:t xml:space="preserve">For Part A — Identity Resolution and UBID Assignment:</w:t>
      </w:r>
    </w:p>
    <w:p>
      <w:pPr>
        <w:spacing w:after="200"/>
      </w:pPr>
      <w:r>
        <w:t xml:space="preserve">The platform ingests master data extracts from each department system. For every record, it runs a multi-stage blocking and matching pipeline. Blocking is done first — rather than comparing every record against every other record (which is computationally impractical at scale), records are grouped into candidate pairs using lightweight keys: pin code, first few characters of a normalised business name, or a phonetic encoding of the name. Only candidate pairs within the same block are then compared in detail.</w:t>
      </w:r>
    </w:p>
    <w:p>
      <w:pPr>
        <w:spacing w:after="200"/>
      </w:pPr>
      <w:r>
        <w:t xml:space="preserve">The detailed comparison uses a weighted combination of signals: normalised name similarity (using algorithms like Jaro-Winkler and token-sort ratio to handle "Pvt Ltd" vs "Private Limited" vs abbreviations), address similarity after parsing into structured components (street, locality, pin code), and exact or fuzzy matching on PAN and GSTIN where available. Each pair gets a composite confidence score. Where PAN or GSTIN is present and matches, that acts as a near-deterministic anchor and overrides the fuzzy signals.</w:t>
      </w:r>
    </w:p>
    <w:p>
      <w:pPr>
        <w:spacing w:after="200"/>
      </w:pPr>
      <w:r>
        <w:t xml:space="preserve">High-confidence pairs are auto-linked and assigned a shared UBID. Low-confidence pairs are kept separate. The genuinely hard cases — ambiguous matches where the score falls in a middle band — are routed to a human reviewer queue. The reviewer sees the two records side by side, the specific signals that contributed to the score, and a plain-language explanation of why the system was uncertain. Their decision (merge, keep separate, escalate) is recorded and fed back as labelled training data to recalibrate the model over time.</w:t>
      </w:r>
    </w:p>
    <w:p>
      <w:pPr>
        <w:spacing w:after="200"/>
      </w:pPr>
      <w:r>
        <w:t xml:space="preserve">Where PAN or GSTIN is present, the UBID is anchored to that central identifier so future cross-referencing with GST or income tax data becomes straightforward. Where it is absent, the UBID is internally generated but structured to accept anchoring when the PAN/GSTIN is discovered later.</w:t>
      </w:r>
    </w:p>
    <w:p>
      <w:pPr>
        <w:spacing w:after="120"/>
      </w:pPr>
      <w:r>
        <w:t xml:space="preserve">For Part B — Activity Status Inference:</w:t>
      </w:r>
    </w:p>
    <w:p>
      <w:pPr>
        <w:spacing w:after="200"/>
      </w:pPr>
      <w:r>
        <w:t xml:space="preserve">Once UBIDs are established, the platform subscribes to (or periodically ingests) the one-way event stream from department systems: inspection records, licence renewals, compliance filings, utility consumption readings, and similar signals. Each incoming event is matched to a UBID using the same resolution logic. Events that match confidently are attached to the UBID's timeline. Events that cannot be confidently matched to any UBID are surfaced in a separate review queue — they are never silently dropped.</w:t>
      </w:r>
    </w:p>
    <w:p>
      <w:pPr>
        <w:spacing w:after="200"/>
      </w:pPr>
      <w:r>
        <w:t xml:space="preserve">For each UBID, the platform maintains a rolling evidence timeline and runs a classification model that labels the business as Active, Dormant, or Closed. The classification is not a black box. It is driven by a transparent, configurable rule-and-weight system: for example, a utility consumption reading in the last 90 days is strong evidence of activity; a lapsed licence combined with no consumption for 12 months and no inspection response is a strong Dormant/Closed signal. Each classification shows exactly which events drove it and over what window. A reviewer can override any classification, and that override is recorded.</w:t>
      </w:r>
    </w:p>
    <w:p>
      <w:pPr>
        <w:spacing w:after="200"/>
      </w:pPr>
      <w:r>
        <w:t xml:space="preserve">The combination of these two parts means that for the first time Karnataka Commerce &amp; Industries can ask cross-system queries like "active factories in pin code 560058 with no inspection in 18 months" and get a real, evidence-backed answer.</w:t>
      </w:r>
    </w:p>
    <w:p>
      <w:pPr>
        <w:pStyle w:val="Heading1"/>
      </w:pPr>
      <w:r>
        <w:rPr>
          <w:b/>
          <w:bCs/>
        </w:rPr>
        <w:t xml:space="preserve">3. Comprehensive Feature Set</w:t>
      </w:r>
    </w:p>
    <w:p>
      <w:pPr>
        <w:spacing w:after="80"/>
      </w:pPr>
      <w:r>
        <w:rPr>
          <w:b/>
          <w:bCs/>
        </w:rPr>
        <w:t xml:space="preserve">Ingestion and Normalisation Layer</w:t>
      </w:r>
    </w:p>
    <w:p>
      <w:pPr>
        <w:spacing w:after="200"/>
      </w:pPr>
      <w:r>
        <w:t xml:space="preserve">Scheduled or event-driven connectors pull master data and transaction streams from each department system without modifying those systems. Raw data is normalised — business names are standardised (stripping legal suffixes, normalising spacing and punctuation), addresses are parsed into structured components, and PAN/GSTIN fields are validated and cleaned. All raw source data is preserved alongside the normalised version; normalisation is never destructive.</w:t>
      </w:r>
    </w:p>
    <w:p>
      <w:pPr>
        <w:spacing w:after="80"/>
      </w:pPr>
      <w:r>
        <w:rPr>
          <w:b/>
          <w:bCs/>
        </w:rPr>
        <w:t xml:space="preserve">Blocking and Candidate Generation</w:t>
      </w:r>
    </w:p>
    <w:p>
      <w:pPr>
        <w:spacing w:after="200"/>
      </w:pPr>
      <w:r>
        <w:t xml:space="preserve">Before any comparison, records are partitioned into blocks using composite keys (pin code + phonetic name encoding, or pin code + first-three-tokens of address). This reduces the comparison space from O(n²) to manageable size without sacrificing recall on genuine matches.</w:t>
      </w:r>
    </w:p>
    <w:p>
      <w:pPr>
        <w:spacing w:after="80"/>
      </w:pPr>
      <w:r>
        <w:rPr>
          <w:b/>
          <w:bCs/>
        </w:rPr>
        <w:t xml:space="preserve">Multi-Signal Matching Engine</w:t>
      </w:r>
    </w:p>
    <w:p>
      <w:pPr>
        <w:spacing w:after="200"/>
      </w:pPr>
      <w:r>
        <w:t xml:space="preserve">For each candidate pair, the engine computes: name similarity (multiple algorithms, best-of), address component similarity, PAN/GSTIN exact and partial match, phone/email match where available, and registration date proximity as a weak supporting signal. Weights for each signal are configurable and can be retrained as labelled data accumulates.</w:t>
      </w:r>
    </w:p>
    <w:p>
      <w:pPr>
        <w:spacing w:after="80"/>
      </w:pPr>
      <w:r>
        <w:rPr>
          <w:b/>
          <w:bCs/>
        </w:rPr>
        <w:t xml:space="preserve">Confidence Scoring and Threshold Management</w:t>
      </w:r>
    </w:p>
    <w:p>
      <w:pPr>
        <w:spacing w:after="200"/>
      </w:pPr>
      <w:r>
        <w:t xml:space="preserve">Every linkage decision carries a numeric confidence score with a breakdown by signal. Administrators can set and adjust three thresholds: auto-link above the upper threshold, route to review between the thresholds, and keep separate below the lower threshold. Threshold changes take effect prospectively and can trigger re-evaluation of borderline historical decisions.</w:t>
      </w:r>
    </w:p>
    <w:p>
      <w:pPr>
        <w:spacing w:after="80"/>
      </w:pPr>
      <w:r>
        <w:rPr>
          <w:b/>
          <w:bCs/>
        </w:rPr>
        <w:t xml:space="preserve">UBID Registry and Identity Graph</w:t>
      </w:r>
    </w:p>
    <w:p>
      <w:pPr>
        <w:spacing w:after="200"/>
      </w:pPr>
      <w:r>
        <w:t xml:space="preserve">The core data structure is a graph where nodes are source records and edges are linkage decisions. A UBID is the identifier of a connected component in this graph. The graph stores every merge and split decision, who made it (human or model), and when. Merges are reversible: if a wrong merge is detected, the graph edge can be removed and the UBID split, with a full audit trail.</w:t>
      </w:r>
    </w:p>
    <w:p>
      <w:pPr>
        <w:spacing w:after="80"/>
      </w:pPr>
      <w:r>
        <w:rPr>
          <w:b/>
          <w:bCs/>
        </w:rPr>
        <w:t xml:space="preserve">Human Review Workflow</w:t>
      </w:r>
    </w:p>
    <w:p>
      <w:pPr>
        <w:spacing w:after="200"/>
      </w:pPr>
      <w:r>
        <w:t xml:space="preserve">A purpose-built reviewer interface presents ambiguous match pairs with the source records, the confidence score, and a plain-language explanation of the uncertainty. Reviewers can merge, reject, or flag for escalation. Reviewer decisions are timestamped, attributed, and stored as labelled examples that feed back into model retraining.</w:t>
      </w:r>
    </w:p>
    <w:p>
      <w:pPr>
        <w:spacing w:after="80"/>
      </w:pPr>
      <w:r>
        <w:rPr>
          <w:b/>
          <w:bCs/>
        </w:rPr>
        <w:t xml:space="preserve">Event Stream Ingestion and UBID Join</w:t>
      </w:r>
    </w:p>
    <w:p>
      <w:pPr>
        <w:spacing w:after="200"/>
      </w:pPr>
      <w:r>
        <w:t xml:space="preserve">Incoming activity events (inspections, renewals, filings, consumption readings) are matched to UBIDs in real time or near-real time. The join uses the same resolution logic as the master data pipeline. Events that match confidently are attached to the UBID timeline. Events with ambiguous or no match are held in a pending queue for reviewer assignment.</w:t>
      </w:r>
    </w:p>
    <w:p>
      <w:pPr>
        <w:spacing w:after="80"/>
      </w:pPr>
      <w:r>
        <w:rPr>
          <w:b/>
          <w:bCs/>
        </w:rPr>
        <w:t xml:space="preserve">Activity Classification Engine</w:t>
      </w:r>
    </w:p>
    <w:p>
      <w:pPr>
        <w:spacing w:after="200"/>
      </w:pPr>
      <w:r>
        <w:t xml:space="preserve">For each UBID, a configurable, explainable rule-weight model produces an Active / Dormant / Closed classification. The classification is recalculated as new events arrive. Every classification shows its evidence: which events, from which systems, over what time window, with what weight. Reviewers can override and annotate.</w:t>
      </w:r>
    </w:p>
    <w:p>
      <w:pPr>
        <w:spacing w:after="80"/>
      </w:pPr>
      <w:r>
        <w:rPr>
          <w:b/>
          <w:bCs/>
        </w:rPr>
        <w:t xml:space="preserve">Query and Analytics Interface</w:t>
      </w:r>
    </w:p>
    <w:p>
      <w:pPr>
        <w:spacing w:after="200"/>
      </w:pPr>
      <w:r>
        <w:t xml:space="preserve">A structured query interface (and underlying API) allows Karnataka Commerce &amp; Industries to run cross-system queries that are impossible today. Queries can combine UBID attributes, activity status, sector, geography, and event history. Results include the underlying evidence for every returned business.</w:t>
      </w:r>
    </w:p>
    <w:p>
      <w:pPr>
        <w:spacing w:after="80"/>
      </w:pPr>
      <w:r>
        <w:rPr>
          <w:b/>
          <w:bCs/>
        </w:rPr>
        <w:t xml:space="preserve">Audit and Explainability Store</w:t>
      </w:r>
    </w:p>
    <w:p>
      <w:pPr>
        <w:spacing w:after="200"/>
      </w:pPr>
      <w:r>
        <w:t xml:space="preserve">Every automated decision — every linkage, every activity classification — is stored with its inputs, the model version that produced it, and the confidence score at the time. This makes every decision reproducible and auditable, satisfying the non-negotiable requirement that automated decisions be explainable and reversible.</w:t>
      </w:r>
    </w:p>
    <w:p>
      <w:pPr>
        <w:pStyle w:val="Heading1"/>
      </w:pPr>
      <w:r>
        <w:rPr>
          <w:b/>
          <w:bCs/>
        </w:rPr>
        <w:t xml:space="preserve">4. Technology Stack</w:t>
      </w:r>
    </w:p>
    <w:p>
      <w:pPr>
        <w:spacing w:after="80"/>
      </w:pPr>
      <w:r>
        <w:rPr>
          <w:b/>
          <w:bCs/>
        </w:rPr>
        <w:t xml:space="preserve">Data Ingestion: Apache Kafka + custom connector framework</w:t>
      </w:r>
    </w:p>
    <w:p>
      <w:pPr>
        <w:spacing w:after="200"/>
      </w:pPr>
      <w:r>
        <w:t xml:space="preserve">Kafka provides the durable, ordered event stream that is the backbone of the activity intelligence pipeline. Department system extracts land as Kafka topics. Connectors are thin adapters that read from existing department APIs or file exports — they require no changes to source systems. We chose Kafka over simpler alternatives like a shared database because it handles both batch master-data loads and real-time event streams in the same infrastructure, and because it preserves ordering and replay capability, which matters when reprocessing events after a UBID merge or split.</w:t>
      </w:r>
    </w:p>
    <w:p>
      <w:pPr>
        <w:spacing w:after="80"/>
      </w:pPr>
      <w:r>
        <w:rPr>
          <w:b/>
          <w:bCs/>
        </w:rPr>
        <w:t xml:space="preserve">Normalisation and Blocking: Python with spaCy and custom address parsing</w:t>
      </w:r>
    </w:p>
    <w:p>
      <w:pPr>
        <w:spacing w:after="200"/>
      </w:pPr>
      <w:r>
        <w:t xml:space="preserve">Business name normalisation uses token-level processing to strip and standardise legal suffixes, handle abbreviations, and apply phonetic encoding (Soundex/Metaphone). Address parsing uses a rule-based parser trained on Indian address formats, which commercial geocoding APIs handle poorly for industrial area addresses in Karnataka. We avoid sending raw PII to any hosted API here, satisfying the non-negotiable on LLM usage.</w:t>
      </w:r>
    </w:p>
    <w:p>
      <w:pPr>
        <w:spacing w:after="80"/>
      </w:pPr>
      <w:r>
        <w:rPr>
          <w:b/>
          <w:bCs/>
        </w:rPr>
        <w:t xml:space="preserve">Matching Engine: Python with recordlinkage and scikit-learn</w:t>
      </w:r>
    </w:p>
    <w:p>
      <w:pPr>
        <w:spacing w:after="200"/>
      </w:pPr>
      <w:r>
        <w:t xml:space="preserve">The recordlinkage library provides the blocking and comparison primitives. Composite confidence scores are produced by a logistic regression model (interpretable by design — each feature has an explicit, inspectable coefficient) trained on reviewer-labelled examples. We chose logistic regression over a deep model deliberately: it is fully explainable, fast, and does not require a large labelled dataset to produce useful results. As labelled data grows, a gradient-boosted model can be introduced as a challenger alongside the incumbent.</w:t>
      </w:r>
    </w:p>
    <w:p>
      <w:pPr>
        <w:spacing w:after="80"/>
      </w:pPr>
      <w:r>
        <w:rPr>
          <w:b/>
          <w:bCs/>
        </w:rPr>
        <w:t xml:space="preserve">Identity Graph: Neo4j</w:t>
      </w:r>
    </w:p>
    <w:p>
      <w:pPr>
        <w:spacing w:after="200"/>
      </w:pPr>
      <w:r>
        <w:t xml:space="preserve">The UBID graph is stored in Neo4j. Graph databases are the natural fit here because the core data structure is genuinely a graph — nodes (source records), edges (linkage decisions), and connected components (UBIDs). Querying connected components, tracing merge history, and propagating UBID changes when edges are added or removed are all native graph operations. A relational database can represent this, but with significantly more complexity and slower traversal.</w:t>
      </w:r>
    </w:p>
    <w:p>
      <w:pPr>
        <w:spacing w:after="80"/>
      </w:pPr>
      <w:r>
        <w:rPr>
          <w:b/>
          <w:bCs/>
        </w:rPr>
        <w:t xml:space="preserve">Activity Classification: Python rule-weight engine with configurable YAML definitions</w:t>
      </w:r>
    </w:p>
    <w:p>
      <w:pPr>
        <w:spacing w:after="200"/>
      </w:pPr>
      <w:r>
        <w:t xml:space="preserve">The Active/Dormant/Closed classifier is deliberately not a neural model. It is a transparent, configurable scoring system where each event type has an explicit weight and decay function (e.g., a consumption reading decays toward neutral over 180 days). Rules and weights are defined in YAML, readable by a domain analyst without engineering involvement. This satisfies the explainability non-negotiable completely — every classification is a sum of named, weighted, time-decayed signals.</w:t>
      </w:r>
    </w:p>
    <w:p>
      <w:pPr>
        <w:spacing w:after="80"/>
      </w:pPr>
      <w:r>
        <w:rPr>
          <w:b/>
          <w:bCs/>
        </w:rPr>
        <w:t xml:space="preserve">Storage: PostgreSQL for structured records + object storage (S3-compatible) for raw extracts</w:t>
      </w:r>
    </w:p>
    <w:p>
      <w:pPr>
        <w:spacing w:after="200"/>
      </w:pPr>
      <w:r>
        <w:t xml:space="preserve">PostgreSQL stores the normalised master data, UBID registry, event timelines, classification results, and reviewer decisions. It is battle-tested, has strong support for JSON columns (useful for variable-schema department records), and is straightforward to audit. Raw source extracts are stored in object storage for reprocessing.</w:t>
      </w:r>
    </w:p>
    <w:p>
      <w:pPr>
        <w:spacing w:after="80"/>
      </w:pPr>
      <w:r>
        <w:rPr>
          <w:b/>
          <w:bCs/>
        </w:rPr>
        <w:t xml:space="preserve">Review Workflow UI: React + FastAPI</w:t>
      </w:r>
    </w:p>
    <w:p>
      <w:pPr>
        <w:spacing w:after="200"/>
      </w:pPr>
      <w:r>
        <w:t xml:space="preserve">The reviewer interface is a React frontend backed by a FastAPI service. FastAPI was chosen for its automatic OpenAPI documentation (useful for the eventual Karnataka Commerce &amp; Industries API surface) and async performance for the event stream endpoints.</w:t>
      </w:r>
    </w:p>
    <w:p>
      <w:pPr>
        <w:spacing w:after="80"/>
      </w:pPr>
      <w:r>
        <w:rPr>
          <w:b/>
          <w:bCs/>
        </w:rPr>
        <w:t xml:space="preserve">Scrambled/Synthetic Data Pipeline: Faker + custom scrambler</w:t>
      </w:r>
    </w:p>
    <w:p>
      <w:pPr>
        <w:spacing w:after="200"/>
      </w:pPr>
      <w:r>
        <w:t xml:space="preserve">For the Round 2 sandbox, all PII fields (names, addresses, PAN, GSTIN, phone) are deterministically scrambled using a seeded hash function. The same real-world business always scrambles to the same synthetic values, so linkage relationships are preserved across the scrambled dataset. This means the matching engine can be developed and tested on realistic data without ever touching real PII, satisfying the non-negotiable on hosted-LLM usage on raw data.</w:t>
      </w:r>
    </w:p>
    <w:p>
      <w:pPr>
        <w:spacing w:after="200"/>
      </w:pPr>
      <w:r>
        <w:rPr>
          <w:b/>
          <w:bCs/>
        </w:rPr>
        <w:t xml:space="preserve">No LLM on raw PII:</w:t>
      </w:r>
      <w:r>
        <w:t xml:space="preserve"> Any LLM-assisted features (for example, using a language model to generate natural-language explanations of reviewer decisions, or to help classify ambiguous address strings) operate exclusively on scrambled or synthetic data. This is architecturally enforced: the LLM integration layer has no access to the raw data store.</w:t>
      </w:r>
    </w:p>
    <w:p>
      <w:pPr>
        <w:pStyle w:val="Heading1"/>
      </w:pPr>
      <w:r>
        <w:rPr>
          <w:b/>
          <w:bCs/>
        </w:rPr>
        <w:t xml:space="preserve">5. Unique Differentiators</w:t>
      </w:r>
    </w:p>
    <w:p>
      <w:pPr>
        <w:spacing w:after="200"/>
      </w:pPr>
      <w:r>
        <w:t xml:space="preserve">Most government data integration projects take one of two approaches: they either build a centralised master database that all departments must feed (which requires modifying source systems, which always fails at scale), or they build a data warehouse that periodically syncs everything into a unified schema (which solves the analytics problem but not the identity problem, and cannot handle ambiguous matches intelligently).</w:t>
      </w:r>
    </w:p>
    <w:p>
      <w:pPr>
        <w:spacing w:after="200"/>
      </w:pPr>
      <w:r>
        <w:t xml:space="preserve">This platform is different in several ways.</w:t>
      </w:r>
    </w:p>
    <w:p>
      <w:pPr>
        <w:spacing w:after="200"/>
      </w:pPr>
      <w:r>
        <w:rPr>
          <w:b/>
          <w:bCs/>
        </w:rPr>
        <w:t xml:space="preserve">Federated by design, not by compromise.</w:t>
      </w:r>
      <w:r>
        <w:t xml:space="preserve"> The architecture was designed from the start around the constraint that source systems cannot be touched. This is not a workaround — it is a first principle. The identity graph sits alongside the source systems as a separate layer of truth about identity, not a replacement for any source system's truth about its own domain.</w:t>
      </w:r>
    </w:p>
    <w:p>
      <w:pPr>
        <w:spacing w:after="200"/>
      </w:pPr>
      <w:r>
        <w:rPr>
          <w:b/>
          <w:bCs/>
        </w:rPr>
        <w:t xml:space="preserve">Ambiguity is a first-class citizen.</w:t>
      </w:r>
      <w:r>
        <w:t xml:space="preserve"> Most entity resolution systems are binary: match or no match. This platform has three outcomes — auto-link, review, and keep separate — and the middle category is treated as valuable signal rather than a problem to be hidden. The reviewer workflow is not a fallback; it is designed as a core data quality mechanism, and reviewer decisions actively improve the system over time.</w:t>
      </w:r>
    </w:p>
    <w:p>
      <w:pPr>
        <w:spacing w:after="200"/>
      </w:pPr>
      <w:r>
        <w:rPr>
          <w:b/>
          <w:bCs/>
        </w:rPr>
        <w:t xml:space="preserve">Explainability is architectural, not cosmetic.</w:t>
      </w:r>
      <w:r>
        <w:t xml:space="preserve"> The classification models were chosen specifically because they produce human-readable explanations natively. A logistic regression score can be decomposed into its feature contributions in one line of code. A YAML-defined rule-weight classifier is readable by a domain analyst. This is not a post-hoc explanation layer bolted on — it is the design.</w:t>
      </w:r>
    </w:p>
    <w:p>
      <w:pPr>
        <w:spacing w:after="200"/>
      </w:pPr>
      <w:r>
        <w:rPr>
          <w:b/>
          <w:bCs/>
        </w:rPr>
        <w:t xml:space="preserve">UBID anchoring to central identifiers.</w:t>
      </w:r>
      <w:r>
        <w:t xml:space="preserve"> By anchoring UBIDs to PAN and GSTIN where present, the platform creates a bridge between state and central government data that currently does not exist. This means Karnataka Commerce &amp; Industries can, over time, correlate its business activity intelligence with GST filing data or MCA records without requiring any inter-government data sharing agreement to be renegotiated — the bridge is already built into the identifier structure.</w:t>
      </w:r>
    </w:p>
    <w:p>
      <w:pPr>
        <w:spacing w:after="200"/>
      </w:pPr>
      <w:r>
        <w:rPr>
          <w:b/>
          <w:bCs/>
        </w:rPr>
        <w:t xml:space="preserve">Reversibility as a core guarantee.</w:t>
      </w:r>
      <w:r>
        <w:t xml:space="preserve"> Wrong merges are more costly than missed ones — the problem statement says this explicitly. The graph architecture makes every merge reversible with a full audit trail. No other approach (centralised DB, warehouse sync) provides this guarantee cleanly.</w:t>
      </w:r>
    </w:p>
    <w:p>
      <w:pPr>
        <w:spacing w:after="200"/>
      </w:pPr>
      <w:r>
        <w:t xml:space="preserve">Compared to commercial master data management (MDM) products that Karnataka might consider, this platform is purpose-built for the specific data quality characteristics of Indian state government records — phonetic name variations in transliteration, informal address formats, partial PAN/GSTIN capture — rather than being a generic enterprise MDM tool calibrated for Western commercial data patterns.</w:t>
      </w:r>
    </w:p>
    <w:p>
      <w:pPr>
        <w:pStyle w:val="Heading1"/>
      </w:pPr>
      <w:r>
        <w:rPr>
          <w:b/>
          <w:bCs/>
        </w:rPr>
        <w:t xml:space="preserve">System Architecture and Workflow</w:t>
      </w:r>
    </w:p>
    <w:p>
      <w:pPr>
        <w:pStyle w:val="Heading2"/>
      </w:pPr>
      <w:r>
        <w:rPr>
          <w:b/>
          <w:bCs/>
        </w:rPr>
        <w:t xml:space="preserve">Architectural Philosophy</w:t>
      </w:r>
    </w:p>
    <w:p>
      <w:pPr>
        <w:spacing w:after="200"/>
      </w:pPr>
      <w:r>
        <w:t xml:space="preserve">The entire architecture is built around one constraint that shapes every decision: source systems are read-only, forever. This means the platform cannot be a traditional integration hub where systems push data to a centre. Instead it is a passive intelligence layer — it observes, it resolves, it classifies, but it never writes back to any source system and never requires any source system to change its behaviour.</w:t>
      </w:r>
    </w:p>
    <w:p>
      <w:pPr>
        <w:spacing w:after="200"/>
      </w:pPr>
      <w:r>
        <w:t xml:space="preserve">The architecture has five logical tiers that data flows through sequentially, with feedback loops that run in the opposite direction.</w:t>
      </w:r>
    </w:p>
    <w:p>
      <w:pPr>
        <w:pStyle w:val="Heading2"/>
      </w:pPr>
      <w:r>
        <w:rPr>
          <w:b/>
          <w:bCs/>
        </w:rPr>
        <w:t xml:space="preserve">Tier 1: Ingestion and Extraction Layer</w:t>
      </w:r>
    </w:p>
    <w:p>
      <w:pPr>
        <w:spacing w:after="200"/>
      </w:pPr>
      <w:r>
        <w:t xml:space="preserve">This is the outermost boundary where the platform touches the real world. Its only job is to get data out of department systems without disturbing them.</w:t>
      </w:r>
    </w:p>
    <w:p>
      <w:pPr>
        <w:spacing w:after="200"/>
      </w:pPr>
      <w:r>
        <w:rPr>
          <w:b/>
          <w:bCs/>
        </w:rPr>
        <w:t xml:space="preserve">How it works:</w:t>
      </w:r>
      <w:r>
        <w:t xml:space="preserve"> Each department system gets a thin, read-only connector. The connector is a lightweight adapter — it could be a scheduled SQL query against a read replica, a file watcher that picks up daily CSV exports that the department already produces for other purposes, a REST API poller if the department exposes one, or an SFTP pull. The connector does not install anything in the source system. It does not require a new API to be built. It uses whatever exit mechanism already exists.</w:t>
      </w:r>
    </w:p>
    <w:p>
      <w:pPr>
        <w:spacing w:after="200"/>
      </w:pPr>
      <w:r>
        <w:t xml:space="preserve">The connectors produce two types of feeds. The first is a master data extract — a periodic (daily or weekly) full or incremental pull of the business registration records from each department. The second is an activity event stream — a near-real-time or batched feed of transaction events: inspections completed, licences renewed, compliance documents filed, consumption meter readings, and similar signals.</w:t>
      </w:r>
    </w:p>
    <w:p>
      <w:pPr>
        <w:spacing w:after="200"/>
      </w:pPr>
      <w:r>
        <w:t xml:space="preserve">Both feeds land in Apache Kafka as raw, immutable topics. One topic per department, one for master data and one for events. The raw Kafka topics are append-only and never modified. This means every piece of data the platform ever received can be replayed from the beginning — critical for reprocessing after a UBID graph correction.</w:t>
      </w:r>
    </w:p>
    <w:p>
      <w:pPr>
        <w:spacing w:after="200"/>
      </w:pPr>
      <w:r>
        <w:rPr>
          <w:b/>
          <w:bCs/>
        </w:rPr>
        <w:t xml:space="preserve">Non-negotiable compliance:</w:t>
      </w:r>
      <w:r>
        <w:t xml:space="preserve"> No source system is modified. No source system even knows the platform exists. The connectors are purely extractive.</w:t>
      </w:r>
    </w:p>
    <w:p>
      <w:pPr>
        <w:pStyle w:val="Heading2"/>
      </w:pPr>
      <w:r>
        <w:rPr>
          <w:b/>
          <w:bCs/>
        </w:rPr>
        <w:t xml:space="preserve">Tier 2: Normalisation and Staging Layer</w:t>
      </w:r>
    </w:p>
    <w:p>
      <w:pPr>
        <w:spacing w:after="200"/>
      </w:pPr>
      <w:r>
        <w:t xml:space="preserve">Raw data from Tier 1 is messy. This tier transforms it into a consistent, comparable form. It does not discard the raw data — it produces a normalised parallel version.</w:t>
      </w:r>
    </w:p>
    <w:p>
      <w:pPr>
        <w:spacing w:after="200"/>
      </w:pPr>
      <w:r>
        <w:t xml:space="preserve">Business name normalisation runs through a pipeline: lowercase, strip punctuation, expand common abbreviations (Pvt → Private, Ltd → Limited, Mfg → Manufacturing), strip legal suffixes into a separate field, apply phonetic encoding (Metaphone works better than Soundex for Indian names) for blocking purposes. The original name is always preserved alongside the normalised version.</w:t>
      </w:r>
    </w:p>
    <w:p>
      <w:pPr>
        <w:spacing w:after="200"/>
      </w:pPr>
      <w:r>
        <w:t xml:space="preserve">Address normalisation is more complex and more important. Indian industrial addresses are notoriously inconsistent — "Plot No. 14-B, Peenya Industrial Area, 2nd Phase" and "14B Peenya Ph-2 Industrial Estate" refer to the same location. The normaliser parses addresses into structured components: plot/door number, street/road name, locality/area name, city, district, pin code. Each component is normalised separately. Pin code is treated as a high-reliability field and validated against a reference table.</w:t>
      </w:r>
    </w:p>
    <w:p>
      <w:pPr>
        <w:spacing w:after="200"/>
      </w:pPr>
      <w:r>
        <w:t xml:space="preserve">PAN and GSTIN validation checks format (regex), not authenticity. Invalid formats are flagged and separated from valid ones so they don't pollute the matching pipeline. A GSTIN also encodes the state code and PAN, so these cross-checks are run automatically.</w:t>
      </w:r>
    </w:p>
    <w:p>
      <w:pPr>
        <w:spacing w:after="200"/>
      </w:pPr>
      <w:r>
        <w:t xml:space="preserve">All normalised records land in PostgreSQL in a staging schema. Each record carries its source system identifier, the department it came from, the ingestion timestamp, and a hash of its normalised content so re-ingesting the same record is idempotent.</w:t>
      </w:r>
    </w:p>
    <w:p>
      <w:pPr>
        <w:pStyle w:val="Heading2"/>
      </w:pPr>
      <w:r>
        <w:rPr>
          <w:b/>
          <w:bCs/>
        </w:rPr>
        <w:t xml:space="preserve">Tier 3: Entity Resolution Engine</w:t>
      </w:r>
    </w:p>
    <w:p>
      <w:pPr>
        <w:spacing w:after="200"/>
      </w:pPr>
      <w:r>
        <w:t xml:space="preserve">This is the technical core of the platform. It takes the normalised staging records and produces the UBID graph.</w:t>
      </w:r>
    </w:p>
    <w:p>
      <w:pPr>
        <w:spacing w:after="200"/>
      </w:pPr>
      <w:r>
        <w:t xml:space="preserve">The engine runs in three sequential phases.</w:t>
      </w:r>
    </w:p>
    <w:p>
      <w:pPr>
        <w:spacing w:after="80"/>
      </w:pPr>
      <w:r>
        <w:rPr>
          <w:b/>
          <w:bCs/>
        </w:rPr>
        <w:t xml:space="preserve">Phase 1 — Blocking</w:t>
      </w:r>
    </w:p>
    <w:p>
      <w:pPr>
        <w:spacing w:after="200"/>
      </w:pPr>
      <w:r>
        <w:t xml:space="preserve">Comparing every record against every other record is O(n²) and completely impractical. Blocking reduces this to a manageable candidate set by partitioning records into groups where genuine matches are likely to exist.</w:t>
      </w:r>
    </w:p>
    <w:p>
      <w:pPr>
        <w:spacing w:after="200"/>
      </w:pPr>
      <w:r>
        <w:t xml:space="preserve">The platform uses multi-pass blocking — it generates candidate pairs independently through several blocking keys and takes the union. The blocking keys used are: exact pin code, exact pin code + first token of normalised business name, Metaphone encoding of business name, and exact PAN or GSTIN where present. A pair of records qualifies as a candidate if they share at least one blocking key. This approach ensures that a genuine match is not missed because one blocking key happens to be corrupted — multiple independent keys provide redundancy.</w:t>
      </w:r>
    </w:p>
    <w:p>
      <w:pPr>
        <w:spacing w:after="80"/>
      </w:pPr>
      <w:r>
        <w:rPr>
          <w:b/>
          <w:bCs/>
        </w:rPr>
        <w:t xml:space="preserve">Phase 2 — Pairwise Comparison</w:t>
      </w:r>
    </w:p>
    <w:p>
      <w:pPr>
        <w:spacing w:after="120"/>
      </w:pPr>
      <w:r>
        <w:t xml:space="preserve">For each candidate pair, the engine computes a vector of similarity features:</w:t>
      </w:r>
    </w:p>
    <w:p>
      <w:pPr>
        <w:spacing w:after="120"/>
      </w:pPr>
      <w:r>
        <w:t xml:space="preserve">Name similarity: Jaro-Winkler distance on normalised name, token-sort ratio on normalised name, exact match on stripped legal name</w:t>
      </w:r>
    </w:p>
    <w:p>
      <w:pPr>
        <w:spacing w:after="120"/>
      </w:pPr>
      <w:r>
        <w:t xml:space="preserve">Address similarity: exact match on pin code, fuzzy match on locality/area component, fuzzy match on plot/street component</w:t>
      </w:r>
    </w:p>
    <w:p>
      <w:pPr>
        <w:spacing w:after="120"/>
      </w:pPr>
      <w:r>
        <w:t xml:space="preserve">Identifier match: exact PAN match (highest weight), exact GSTIN match (highest weight), partial GSTIN match (PAN embedded in GSTIN)</w:t>
      </w:r>
    </w:p>
    <w:p>
      <w:pPr>
        <w:spacing w:after="200"/>
      </w:pPr>
      <w:r>
        <w:t xml:space="preserve">Supplementary signals: phone number match, email domain match, registration date proximity</w:t>
      </w:r>
    </w:p>
    <w:p>
      <w:pPr>
        <w:spacing w:after="200"/>
      </w:pPr>
      <w:r>
        <w:t xml:space="preserve">Each feature produces a value between 0 and 1. PAN and GSTIN exact matches are treated as near-deterministic: a confirmed PAN match sets a hard floor on the confidence score regardless of other signals. This is important because two businesses can legitimately have similar names and addresses (e.g., two units of the same group in the same industrial estate) but will never share a PAN.</w:t>
      </w:r>
    </w:p>
    <w:p>
      <w:pPr>
        <w:spacing w:after="80"/>
      </w:pPr>
      <w:r>
        <w:rPr>
          <w:b/>
          <w:bCs/>
        </w:rPr>
        <w:t xml:space="preserve">Phase 3 — Confidence Scoring and Decision</w:t>
      </w:r>
    </w:p>
    <w:p>
      <w:pPr>
        <w:spacing w:after="200"/>
      </w:pPr>
      <w:r>
        <w:t xml:space="preserve">The feature vector is passed to a logistic regression classifier trained on reviewer-labelled pairs. Logistic regression was chosen deliberately over more powerful but opaque models: every prediction is a weighted sum of named features, and the weight of each feature can be printed in plain language for a reviewer. "This match scores 0.73 because the names are very similar (contributing 0.31), the pin codes match exactly (contributing 0.18), the locality names match (contributing 0.14), but no PAN or GSTIN is present to confirm (0.10 missing)." That sentence is generated directly from the model coefficients and feature values.</w:t>
      </w:r>
    </w:p>
    <w:p>
      <w:pPr>
        <w:spacing w:after="120"/>
      </w:pPr>
      <w:r>
        <w:t xml:space="preserve">The score is compared against two administrator-configured thresholds:</w:t>
      </w:r>
    </w:p>
    <w:p>
      <w:pPr>
        <w:spacing w:after="120"/>
      </w:pPr>
      <w:r>
        <w:t xml:space="preserve">Above upper threshold (e.g., 0.85): Auto-link. The two records are merged into a UBID (or added to an existing UBID's connected component). The decision is logged with the score and model version.</w:t>
      </w:r>
    </w:p>
    <w:p>
      <w:pPr>
        <w:spacing w:after="120"/>
      </w:pPr>
      <w:r>
        <w:t xml:space="preserve">Between thresholds (e.g., 0.50–0.85): Route to human review queue. Both records, the score, and the feature breakdown are presented to a reviewer.</w:t>
      </w:r>
    </w:p>
    <w:p>
      <w:pPr>
        <w:spacing w:after="200"/>
      </w:pPr>
      <w:r>
        <w:t xml:space="preserve">Below lower threshold (e.g., 0.50): Keep separate. No merge is made. The pair is logged as a rejected candidate.</w:t>
      </w:r>
    </w:p>
    <w:p>
      <w:pPr>
        <w:spacing w:after="200"/>
      </w:pPr>
      <w:r>
        <w:t xml:space="preserve">The UBID itself is stored as a connected component in Neo4j. Each node in the graph is a source record. Each edge is a linkage decision, carrying the confidence score, the decision type (auto or human), the timestamp, and the reviewer ID if applicable. A UBID is the identifier of a connected component — all records that are transitively linked share the same UBID.</w:t>
      </w:r>
    </w:p>
    <w:p>
      <w:pPr>
        <w:spacing w:after="200"/>
      </w:pPr>
      <w:r>
        <w:t xml:space="preserve">Where PAN or GSTIN is present on any record in a component, the UBID is anchored to that central identifier. Where no central identifier is present, the UBID is a platform-generated UUID that is structured to accept anchoring later (when a PAN is eventually discovered on a new record that matches into the same component).</w:t>
      </w:r>
    </w:p>
    <w:p>
      <w:pPr>
        <w:spacing w:after="200"/>
      </w:pPr>
      <w:r>
        <w:t xml:space="preserve">Intra-department deduplication runs as a preliminary pass before cross-department matching. Records from the same source system are matched against each other first, using the same pipeline but with slightly different threshold defaults (since intra-department duplicates are rarer and more suspicious). Probable intra-department duplicates are flagged for the relevant department's reviewer rather than being auto-merged.</w:t>
      </w:r>
    </w:p>
    <w:p>
      <w:pPr>
        <w:pStyle w:val="Heading2"/>
      </w:pPr>
      <w:r>
        <w:rPr>
          <w:b/>
          <w:bCs/>
        </w:rPr>
        <w:t xml:space="preserve">Tier 4: Activity Intelligence Engine</w:t>
      </w:r>
    </w:p>
    <w:p>
      <w:pPr>
        <w:spacing w:after="200"/>
      </w:pPr>
      <w:r>
        <w:t xml:space="preserve">Once UBIDs are established, the activity event stream from Tier 1 is matched to UBIDs and used to infer business status.</w:t>
      </w:r>
    </w:p>
    <w:p>
      <w:pPr>
        <w:spacing w:after="200"/>
      </w:pPr>
      <w:r>
        <w:t xml:space="preserve">Event-to-UBID joining uses the same resolution logic as master data matching. Each incoming event carries a source system identifier (e.g., a Factories ID or a KSPCB consent number). The platform looks up that identifier in its registry: if it maps to a UBID with high confidence, the event is attached to that UBID's timeline. If the source identifier is known but maps to an ambiguous UBID (e.g., a pending review that hasn't been resolved yet), the event is held in a staging queue and will be attached once the review is resolved. If the source identifier is completely unknown, the event is routed to the review queue as an orphan event — never silently dropped.</w:t>
      </w:r>
    </w:p>
    <w:p>
      <w:pPr>
        <w:spacing w:after="200"/>
      </w:pPr>
      <w:r>
        <w:t xml:space="preserve">The activity timeline for each UBID is a time-ordered log of attached events, each carrying its source system, event type, event date, and any relevant metadata (e.g., inspection outcome, renewal duration, consumption volume).</w:t>
      </w:r>
    </w:p>
    <w:p>
      <w:pPr>
        <w:spacing w:after="200"/>
      </w:pPr>
      <w:r>
        <w:t xml:space="preserve">Activity classification runs on this timeline using a transparent rule-weight scoring engine defined in YAML configuration files. The classifier is deliberately not a machine learning model — it is an explicit, readable formula that a domain analyst can inspect, question, and adjust without engineering involvement.</w:t>
      </w:r>
    </w:p>
    <w:p>
      <w:pPr>
        <w:spacing w:after="200"/>
      </w:pPr>
      <w:r>
        <w:t xml:space="preserve">The classification works as follows. Each event type has a base weight (how much evidence of activity it provides) and a decay function (how quickly that evidence fades over time). For example, a utility consumption reading has a high base weight and a 90-day half-life — it strongly supports Active status but that support decays to neutral over three months of no further readings. A licence renewal has a medium base weight and a 12-month half-life. An inspection with a satisfactory outcome has a medium base weight and a 6-month half-life. A lapsed licence (an absence of an expected event) contributes a negative weight toward Dormant.</w:t>
      </w:r>
    </w:p>
    <w:p>
      <w:pPr>
        <w:spacing w:after="200"/>
      </w:pPr>
      <w:r>
        <w:t xml:space="preserve">The platform sums the current weighted scores across all event types for a UBID. If the total score is above an Active threshold it is classified Active. If it is between the Active and Closed thresholds it is Dormant. Below the Closed threshold it is Closed. Each classification is accompanied by a sorted list of the contributing signals — "Classified Active: primary signals are BESCOM consumption reading 23 days ago (weight 0.42), Labour licence renewal 4 months ago (weight 0.28), KSPCB inspection 7 months ago (weight 0.15). Counterweight: no Factories inspection in 14 months (-0.08)."</w:t>
      </w:r>
    </w:p>
    <w:p>
      <w:pPr>
        <w:spacing w:after="200"/>
      </w:pPr>
      <w:r>
        <w:t xml:space="preserve">Reviewers can override any classification. An override is stored as an annotation on the UBID timeline and is factored into future classifications until it expires or is revoked. Override patterns across many businesses can signal that a particular event type's weight needs recalibration.</w:t>
      </w:r>
    </w:p>
    <w:p>
      <w:pPr>
        <w:pStyle w:val="Heading2"/>
      </w:pPr>
      <w:r>
        <w:rPr>
          <w:b/>
          <w:bCs/>
        </w:rPr>
        <w:t xml:space="preserve">Tier 5: Access and Query Layer</w:t>
      </w:r>
    </w:p>
    <w:p>
      <w:pPr>
        <w:spacing w:after="200"/>
      </w:pPr>
      <w:r>
        <w:t xml:space="preserve">This tier is what Karnataka Commerce &amp; Industries actually interacts with.</w:t>
      </w:r>
    </w:p>
    <w:p>
      <w:pPr>
        <w:spacing w:after="200"/>
      </w:pPr>
      <w:r>
        <w:t xml:space="preserve">The REST API exposes endpoints for: looking up a UBID by any source identifier, PAN, GSTIN, or name-address-pincode combination; retrieving a UBID's full evidence profile (linked records, event timeline, activity classification with evidence); querying UBIDs by combinations of attributes (sector, geography, status, event history gaps); and accessing the reviewer queues.</w:t>
      </w:r>
    </w:p>
    <w:p>
      <w:pPr>
        <w:spacing w:after="200"/>
      </w:pPr>
      <w:r>
        <w:t xml:space="preserve">The query interface is a structured form and natural-language-assisted query builder that translates analyst questions into API queries. The "active factories in 560058 with no inspection in 18 months" query becomes: filter UBIDs where sector = Factories, pin code = 560058, status = Active, and no event of type inspection attached in the last 540 days.</w:t>
      </w:r>
    </w:p>
    <w:p>
      <w:pPr>
        <w:spacing w:after="200"/>
      </w:pPr>
      <w:r>
        <w:t xml:space="preserve">The reviewer interface is a dedicated UI for the two review queues: ambiguous UBID matches and orphan events. Each item in the queue shows the full evidence. Reviewer decisions are recorded, timestamped, and attributed. The interface also shows the reviewer's historical decision patterns and calibration statistics, so supervisors can identify systematic errors or biases.</w:t>
      </w:r>
    </w:p>
    <w:p>
      <w:pPr>
        <w:spacing w:after="200"/>
      </w:pPr>
      <w:r>
        <w:t xml:space="preserve">The admin interface exposes threshold configuration, model retraining triggers, calibration reports, and data quality dashboards per source system.</w:t>
      </w:r>
    </w:p>
    <w:p>
      <w:pPr>
        <w:pStyle w:val="Heading2"/>
      </w:pPr>
      <w:r>
        <w:rPr>
          <w:b/>
          <w:bCs/>
        </w:rPr>
        <w:t xml:space="preserve">Feedback Loops</w:t>
      </w:r>
    </w:p>
    <w:p>
      <w:pPr>
        <w:spacing w:after="200"/>
      </w:pPr>
      <w:r>
        <w:t xml:space="preserve">The architecture has two critical feedback loops that make the system improve over time rather than degrading.</w:t>
      </w:r>
    </w:p>
    <w:p>
      <w:pPr>
        <w:spacing w:after="200"/>
      </w:pPr>
      <w:r>
        <w:rPr>
          <w:b/>
          <w:bCs/>
        </w:rPr>
        <w:t xml:space="preserve">Matching model retraining loop:</w:t>
      </w:r>
      <w:r>
        <w:t xml:space="preserve"> Every reviewer decision on a candidate pair (merge or reject) becomes a labelled training example. When enough new labelled examples have accumulated (configurable, e.g., every 500 decisions), the logistic regression model is retrained on the full labelled history and the new model is evaluated on a held-out validation set. If the new model outperforms the incumbent on calibration metrics, it is promoted and begins producing scores. The previous model version is retained so any auto-link decisions made under it remain auditable.</w:t>
      </w:r>
    </w:p>
    <w:p>
      <w:pPr>
        <w:spacing w:after="200"/>
      </w:pPr>
      <w:r>
        <w:rPr>
          <w:b/>
          <w:bCs/>
        </w:rPr>
        <w:t xml:space="preserve">Activity weight recalibration loop:</w:t>
      </w:r>
      <w:r>
        <w:t xml:space="preserve"> When reviewers override activity classifications, the system tracks the pattern. If a particular event type's signal is consistently being overridden in a particular direction (e.g., reviewers keep upgrading businesses from Dormant to Active in a sector where utility consumption data is unreliable), that pattern triggers a recalibration suggestion that an administrator can review and apply to the YAML configuration.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40"/>
      <w:szCs w:val="40"/>
    </w:rPr>
  </w:style>
  <w:style w:type="paragraph" w:styleId="Heading2">
    <w:name w:val="Heading 2"/>
    <w:basedOn w:val="Normal"/>
    <w:next w:val="Normal"/>
    <w:qFormat/>
    <w:pPr>
      <w:spacing w:after="180" w:before="300"/>
      <w:outlineLvl w:val="1"/>
    </w:pPr>
    <w:rPr>
      <w:rFonts w:ascii="Arial" w:cs="Arial" w:eastAsia="Arial" w:hAnsi="Arial"/>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2026-05-04T14:50:56.165Z</dcterms:created>
  <dcterms:modified xsi:type="dcterms:W3CDTF">2026-05-04T14:50:56.165Z</dcterms:modified>
</cp:coreProperties>
</file>

<file path=docProps/custom.xml><?xml version="1.0" encoding="utf-8"?>
<Properties xmlns="http://schemas.openxmlformats.org/officeDocument/2006/custom-properties" xmlns:vt="http://schemas.openxmlformats.org/officeDocument/2006/docPropsVTypes"/>
</file>