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left"/>
      </w:pPr>
      <w:r>
        <w:rPr>
          <w:rFonts w:ascii="Calibri" w:cs="Calibri" w:eastAsia="Calibri" w:hAnsi="Calibri"/>
          <w:b/>
          <w:bCs/>
          <w:i w:val="false"/>
          <w:iCs w:val="false"/>
          <w:color w:val="0D1B2A"/>
          <w:sz w:val="28"/>
          <w:szCs w:val="28"/>
        </w:rPr>
        <w:t xml:space="preserve">DEEPTHOUGHT</w:t>
      </w:r>
    </w:p>
    <w:p>
      <w:pPr>
        <w:spacing w:after="60" w:before="80"/>
        <w:jc w:val="left"/>
      </w:pPr>
      <w:r>
        <w:rPr>
          <w:rFonts w:ascii="Calibri" w:cs="Calibri" w:eastAsia="Calibri" w:hAnsi="Calibri"/>
          <w:b w:val="false"/>
          <w:bCs w:val="false"/>
          <w:i w:val="false"/>
          <w:iCs w:val="false"/>
          <w:color w:val="6B7280"/>
          <w:sz w:val="22"/>
          <w:szCs w:val="22"/>
        </w:rPr>
        <w:t xml:space="preserve">Business Analytics Internship  ·  Target Company Research</w:t>
      </w:r>
    </w:p>
    <w:p>
      <w:pPr>
        <w:spacing w:after="20" w:before="60"/>
        <w:jc w:val="left"/>
      </w:pPr>
      <w:r>
        <w:rPr>
          <w:rFonts w:ascii="Calibri" w:cs="Calibri" w:eastAsia="Calibri" w:hAnsi="Calibri"/>
          <w:b/>
          <w:bCs/>
          <w:i w:val="false"/>
          <w:iCs w:val="false"/>
          <w:color w:val="0D1B2A"/>
          <w:sz w:val="44"/>
          <w:szCs w:val="44"/>
        </w:rPr>
        <w:t xml:space="preserve">Research Methodology</w:t>
      </w:r>
    </w:p>
    <w:p>
      <w:pPr>
        <w:spacing w:after="40" w:before="80"/>
        <w:jc w:val="left"/>
      </w:pPr>
      <w:r>
        <w:rPr>
          <w:rFonts w:ascii="Calibri" w:cs="Calibri" w:eastAsia="Calibri" w:hAnsi="Calibri"/>
          <w:b w:val="false"/>
          <w:bCs w:val="false"/>
          <w:i w:val="false"/>
          <w:iCs w:val="false"/>
          <w:color w:val="1B6CA8"/>
          <w:sz w:val="26"/>
          <w:szCs w:val="26"/>
        </w:rPr>
        <w:t xml:space="preserve">Mumbai  ·  Performance Chemicals &amp; Specialty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680"/>
        <w:gridCol w:w="180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City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20"/>
                <w:szCs w:val="20"/>
              </w:rPr>
              <w:t xml:space="preserve">Mumbai (MMR)</w:t>
            </w:r>
          </w:p>
        </w:tc>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Segments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Performance Chemicals  ·  Specialty Biotech  ·  Custom Synthesis</w:t>
            </w:r>
          </w:p>
        </w:tc>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Companies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20"/>
                <w:szCs w:val="20"/>
              </w:rPr>
              <w:t xml:space="preserve">10 profiled</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Pass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7 of 10 passed gates  ·  ~30% fail rate as expected</w:t>
            </w:r>
          </w:p>
        </w:tc>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Analyst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Internship candidate</w:t>
            </w:r>
          </w:p>
        </w:tc>
      </w:tr>
    </w:tbl>
    <w:p>
      <w:pPr>
        <w:pBdr>
          <w:bottom w:val="single" w:color="DDE3EA" w:sz="4" w:space="1"/>
        </w:pBdr>
        <w:spacing w:after="80" w:before="80"/>
        <w:jc w:val="left"/>
      </w:pPr>
      <w:r>
        <w:rPr>
          <w:rFonts w:ascii="Calibri" w:cs="Calibri" w:eastAsia="Calibri" w:hAnsi="Calibri"/>
          <w:b w:val="false"/>
          <w:bCs w:val="false"/>
          <w:i w:val="false"/>
          <w:iCs w:val="false"/>
          <w:color w:val="111827"/>
          <w:sz w:val="22"/>
          <w:szCs w:val="22"/>
        </w:rPr>
        <w:t xml:space="preserve"/>
      </w:r>
    </w:p>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1.  Why Mumbai</w:t>
      </w:r>
    </w:p>
    <w:p>
      <w:pPr>
        <w:spacing w:after="60" w:before="60"/>
        <w:jc w:val="left"/>
      </w:pPr>
      <w:r>
        <w:rPr>
          <w:rFonts w:ascii="Calibri" w:cs="Calibri" w:eastAsia="Calibri" w:hAnsi="Calibri"/>
          <w:b w:val="false"/>
          <w:bCs w:val="false"/>
          <w:i w:val="false"/>
          <w:iCs w:val="false"/>
          <w:color w:val="111827"/>
          <w:sz w:val="22"/>
          <w:szCs w:val="22"/>
        </w:rPr>
        <w:t xml:space="preserve">Mumbai and its extended metro region (Navi Mumbai, Thane, Ambernath, Silvassa) is one of India's densest clusters of specialty chemical and industrial manufacturing companies. Three factors made it the right city for this research pass:</w:t>
      </w:r>
    </w:p>
    <w:p>
      <w:pPr>
        <w:spacing w:after="80" w:before="40"/>
        <w:jc w:val="left"/>
      </w:pPr>
      <w:r>
        <w:rPr>
          <w:rFonts w:ascii="Calibri" w:cs="Calibri" w:eastAsia="Calibri" w:hAnsi="Calibri"/>
          <w:b w:val="false"/>
          <w:bCs w:val="false"/>
          <w:i w:val="false"/>
          <w:iCs w:val="false"/>
          <w:color w:val="111827"/>
          <w:sz w:val="22"/>
          <w:szCs w:val="22"/>
        </w:rPr>
        <w:t xml:space="preserve"/>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Geographic density.</w:t>
      </w:r>
      <w:r>
        <w:rPr>
          <w:rFonts w:ascii="Calibri" w:cs="Calibri" w:eastAsia="Calibri" w:hAnsi="Calibri"/>
          <w:b w:val="false"/>
          <w:bCs w:val="false"/>
          <w:i w:val="false"/>
          <w:iCs w:val="false"/>
          <w:color w:val="111827"/>
          <w:sz w:val="22"/>
          <w:szCs w:val="22"/>
        </w:rPr>
        <w:t xml:space="preserve"> MIDC industrial belts at Ambernath, Taloja, Turbhe, and Mahape host hundreds of chemical manufacturers. Mumbai-headquartered companies frequently run plants 40–90 km away while keeping R&amp;D, finance, and founder leadership in the city — they count as Mumbai-based under DeepThought's operational-presence rule.</w:t>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Listed mid-cap access.</w:t>
      </w:r>
      <w:r>
        <w:rPr>
          <w:rFonts w:ascii="Calibri" w:cs="Calibri" w:eastAsia="Calibri" w:hAnsi="Calibri"/>
          <w:b w:val="false"/>
          <w:bCs w:val="false"/>
          <w:i w:val="false"/>
          <w:iCs w:val="false"/>
          <w:color w:val="111827"/>
          <w:sz w:val="22"/>
          <w:szCs w:val="22"/>
        </w:rPr>
        <w:t xml:space="preserve"> BSE-listed mid-caps with Rs.50–500Cr revenue are disproportionately headquartered in Mumbai. This made financial verification (Screener, Tofler, BSE filings) faster and more reliable than for privately-held companies in smaller cities.</w:t>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Segment alignment.</w:t>
      </w:r>
      <w:r>
        <w:rPr>
          <w:rFonts w:ascii="Calibri" w:cs="Calibri" w:eastAsia="Calibri" w:hAnsi="Calibri"/>
          <w:b w:val="false"/>
          <w:bCs w:val="false"/>
          <w:i w:val="false"/>
          <w:iCs w:val="false"/>
          <w:color w:val="111827"/>
          <w:sz w:val="22"/>
          <w:szCs w:val="22"/>
        </w:rPr>
        <w:t xml:space="preserve"> Performance chemicals, specialty biotech, and custom synthesis score well on C5 (Growing Sector) because of PLI, China+1, and Make-in-India tailwinds — boosting Federer scores for genuinely differentiated operators.</w:t>
      </w:r>
    </w:p>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2.  Segment Selection</w:t>
      </w:r>
    </w:p>
    <w:p>
      <w:pPr>
        <w:spacing w:after="60" w:before="60"/>
        <w:jc w:val="left"/>
      </w:pPr>
      <w:r>
        <w:rPr>
          <w:rFonts w:ascii="Calibri" w:cs="Calibri" w:eastAsia="Calibri" w:hAnsi="Calibri"/>
          <w:b w:val="false"/>
          <w:bCs w:val="false"/>
          <w:i w:val="false"/>
          <w:iCs w:val="false"/>
          <w:color w:val="111827"/>
          <w:sz w:val="22"/>
          <w:szCs w:val="22"/>
        </w:rPr>
        <w:t xml:space="preserve">Three segments were targeted. Each was selected because Mumbai has a genuine manufacturing cluster, not just isolated companies.</w:t>
      </w:r>
    </w:p>
    <w:p>
      <w:pPr>
        <w:spacing w:after="80" w:before="40"/>
        <w:jc w:val="left"/>
      </w:pPr>
      <w:r>
        <w:rPr>
          <w:rFonts w:ascii="Calibri" w:cs="Calibri" w:eastAsia="Calibri" w:hAnsi="Calibri"/>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Segment</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Why selected for Mumbai</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Key tailwind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Performance chemicals (Basket 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Ambernath and Taloja MIDC belts are primary clusters. Several BSE-listed mid-caps with documented ERP systems.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China+1, PLI for specialty chemicals, textile industry recovery</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Specialty food &amp; nutraceutical ingredients (Basket 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Ultra-niche segment — food antioxidants and functional ingredients — with few Indian manufacturers and high import substitution potential.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FMCG growth, USFDA-approved exports, import substitution from China</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Custom synthesis &amp; specialty chemicals (Basket 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Mumbai has old-line chemical companies (pre-1970) with accumulated process knowledge and regulated export ambitions.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Pharma intermediates export, Dahej SEZ, China+1</w:t>
            </w:r>
          </w:p>
        </w:tc>
      </w:tr>
    </w:tbl>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3.  Research Process</w:t>
      </w:r>
    </w:p>
    <w:p>
      <w:pPr>
        <w:pStyle w:val="Heading2"/>
        <w:spacing w:after="80" w:before="240"/>
        <w:jc w:val="left"/>
      </w:pPr>
      <w:r>
        <w:rPr>
          <w:rFonts w:ascii="Calibri" w:cs="Calibri" w:eastAsia="Calibri" w:hAnsi="Calibri"/>
          <w:b/>
          <w:bCs/>
          <w:i w:val="false"/>
          <w:iCs w:val="false"/>
          <w:color w:val="1B6CA8"/>
          <w:sz w:val="26"/>
          <w:szCs w:val="26"/>
        </w:rPr>
        <w:t xml:space="preserve">3.1  Source funnel</w:t>
      </w:r>
    </w:p>
    <w:p>
      <w:pPr>
        <w:spacing w:after="60" w:before="60"/>
        <w:jc w:val="left"/>
      </w:pPr>
      <w:r>
        <w:rPr>
          <w:rFonts w:ascii="Calibri" w:cs="Calibri" w:eastAsia="Calibri" w:hAnsi="Calibri"/>
          <w:b w:val="false"/>
          <w:bCs w:val="false"/>
          <w:i w:val="false"/>
          <w:iCs w:val="false"/>
          <w:color w:val="111827"/>
          <w:sz w:val="22"/>
          <w:szCs w:val="22"/>
        </w:rPr>
        <w:t xml:space="preserve">Companies were sourced using five layers. Each layer served a different purpose — breadth first, depth second, verification third.</w:t>
      </w:r>
    </w:p>
    <w:p>
      <w:pPr>
        <w:spacing w:after="80" w:before="40"/>
        <w:jc w:val="left"/>
      </w:pPr>
      <w:r>
        <w:rPr>
          <w:rFonts w:ascii="Calibri" w:cs="Calibri" w:eastAsia="Calibri" w:hAnsi="Calibri"/>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40"/>
        <w:gridCol w:w="3560"/>
        <w:gridCol w:w="2960"/>
      </w:tblGrid>
      <w:tr>
        <w:tc>
          <w:tcPr>
            <w:tcW w:type="dxa" w:w="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w:t>
            </w:r>
          </w:p>
        </w:tc>
        <w:tc>
          <w:tcPr>
            <w:tcW w:type="dxa" w:w="24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Source</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What it gave</w:t>
            </w:r>
          </w:p>
        </w:tc>
        <w:tc>
          <w:tcPr>
            <w:tcW w:type="dxa" w:w="2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Limitation</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1</w:t>
            </w:r>
          </w:p>
        </w:tc>
        <w:tc>
          <w:tcPr>
            <w:tcW w:type="dxa" w:w="2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BSE / NSE listed companies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Financial data, promoter holding, revenue — immediately filterable via Screener.in. Shortlisted Mumbai-HQ specialty chemical companies with revenue Rs.50–500Cr.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Only catches listed companies. Misses strong private operators.</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2</w:t>
            </w:r>
          </w:p>
        </w:tc>
        <w:tc>
          <w:tcPr>
            <w:tcW w:type="dxa" w:w="2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MIDC directory + Chemexcil member list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Found private specialty chemical manufacturers not on BSE. Cross-referenced each with MCA for revenue and director backgrounds.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Directory data is stale — requires MCA cross-check per company.</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3</w:t>
            </w:r>
          </w:p>
        </w:tc>
        <w:tc>
          <w:tcPr>
            <w:tcW w:type="dxa" w:w="2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LinkedIn company 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Used for C4 (DM background), C7 (IT/ERP roles posted), and C8 (gen-2 director activity). Searched 'Mumbai specialty chemicals SAP' and 'Mumbai chemical COO'.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Requires human judgment to interpret profiles. Slow per company.</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4</w:t>
            </w:r>
          </w:p>
        </w:tc>
        <w:tc>
          <w:tcPr>
            <w:tcW w:type="dxa" w:w="2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Tofler / MCA filings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Verified director names and appointment dates (C8), revenue trends, and current ownership structure. Used for all borderline cases.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Annual reports are 12–18 months stale. Revenue needs current-year cross-check.</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5</w:t>
            </w:r>
          </w:p>
        </w:tc>
        <w:tc>
          <w:tcPr>
            <w:tcW w:type="dxa" w:w="2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Google: '[company] expansion / ERP / certification 2024–2026'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C6 growth signals — press coverage of facility expansion, new certifications, export market entry. Faster than reading full annual reports.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Patchy for private companies. Absence of news is not absence of growth.</w:t>
            </w:r>
          </w:p>
        </w:tc>
      </w:tr>
    </w:tbl>
    <w:p>
      <w:pPr>
        <w:spacing w:after="80" w:before="60"/>
        <w:jc w:val="left"/>
      </w:pPr>
      <w:r>
        <w:rPr>
          <w:rFonts w:ascii="Calibri" w:cs="Calibri" w:eastAsia="Calibri" w:hAnsi="Calibri"/>
          <w:b w:val="false"/>
          <w:bCs w:val="false"/>
          <w:i w:val="false"/>
          <w:iCs w:val="false"/>
          <w:color w:val="111827"/>
          <w:sz w:val="22"/>
          <w:szCs w:val="22"/>
        </w:rPr>
        <w:t xml:space="preserve"/>
      </w:r>
    </w:p>
    <w:p>
      <w:pPr>
        <w:pStyle w:val="Heading2"/>
        <w:spacing w:after="80" w:before="240"/>
        <w:jc w:val="left"/>
      </w:pPr>
      <w:r>
        <w:rPr>
          <w:rFonts w:ascii="Calibri" w:cs="Calibri" w:eastAsia="Calibri" w:hAnsi="Calibri"/>
          <w:b/>
          <w:bCs/>
          <w:i w:val="false"/>
          <w:iCs w:val="false"/>
          <w:color w:val="1B6CA8"/>
          <w:sz w:val="26"/>
          <w:szCs w:val="26"/>
        </w:rPr>
        <w:t xml:space="preserve">3.2  Filtering sequence — fixed order, no skipping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400"/>
        <w:gridCol w:w="2400"/>
      </w:tblGrid>
      <w:tr>
        <w:tc>
          <w:tcPr>
            <w:tcW w:type="dxa" w:w="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Check</w:t>
            </w:r>
          </w:p>
        </w:tc>
        <w:tc>
          <w:tcPr>
            <w:tcW w:type="dxa" w:w="4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What was verified</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Fail → action</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1</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Revenue gate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Screener.in against current year (FY24/FY25). Companies above Rs.500Cr documented as fails. Fast-growing companies can jump bands in a year — used BSE FY25 data where available, not just the last annual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Auto-disqualify with revenue note. Move on.</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2</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Ownership gate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BSE promoter holding data. PE-controlled (institutional majority), recently acquired by large group, or conglomerate subsidiary disqualify immediately. Federer test requires a promoter-driven founder.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Auto-disqualify with ownership note.</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3</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E1: Producer check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Company website About Us, Products, and Manufacturing pages. Verified own facility or plant. CROs, trading companies, distributors, and pure-service companies flagged and removed.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FAIL on E1. Document. Do not score.</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4</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E2: India presence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Confirmed operational presence in India — HQ, R&amp;D, or primary manufacturing. Companies with Mumbai HQ and plants in Dahej or Silvassa pass if founder/leadership is Mumbai-based.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FAIL on E2. Document. Do not score.</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5</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C3–C8 scoring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Full scoring pass only for companies that cleared all gates. Each criterion scored Weak / Moderate / Strong with one line of evidence. Sum gives Federer Score out of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9"/>
                <w:szCs w:val="19"/>
              </w:rPr>
              <w:t xml:space="preserve">Score &lt; 40 → D band. Document fail.</w:t>
            </w:r>
          </w:p>
        </w:tc>
      </w:tr>
    </w:tbl>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4.  Scoring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
        <w:gridCol w:w="2360"/>
        <w:gridCol w:w="2360"/>
        <w:gridCol w:w="232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Criterion</w:t>
            </w:r>
          </w:p>
        </w:tc>
        <w:tc>
          <w:tcPr>
            <w:tcW w:type="dxa" w:w="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Wt</w:t>
            </w:r>
          </w:p>
        </w:tc>
        <w:tc>
          <w:tcPr>
            <w:tcW w:type="dxa" w:w="23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065F46"/>
                <w:sz w:val="18"/>
                <w:szCs w:val="18"/>
              </w:rPr>
              <w:t xml:space="preserve">Strong (full pts)</w:t>
            </w:r>
          </w:p>
        </w:tc>
        <w:tc>
          <w:tcPr>
            <w:tcW w:type="dxa" w:w="2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E3A8A"/>
                <w:sz w:val="18"/>
                <w:szCs w:val="18"/>
              </w:rPr>
              <w:t xml:space="preserve">Moderate (half pts)</w:t>
            </w:r>
          </w:p>
        </w:tc>
        <w:tc>
          <w:tcPr>
            <w:tcW w:type="dxa" w:w="23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7F1D1D"/>
                <w:sz w:val="18"/>
                <w:szCs w:val="18"/>
              </w:rPr>
              <w:t xml:space="preserve">Weak (0 pts)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C3  Differentiated</w:t>
            </w:r>
          </w:p>
        </w:tc>
        <w:tc>
          <w:tcPr>
            <w:tcW w:type="dxa" w:w="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65F46"/>
                <w:sz w:val="18"/>
                <w:szCs w:val="18"/>
              </w:rPr>
              <w:t xml:space="preserve">Patents / DSIR / USFDA / EU-GMP; proprietary products; specialized equipment with market-shaping capability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E3A8A"/>
                <w:sz w:val="18"/>
                <w:szCs w:val="18"/>
              </w:rPr>
              <w:t xml:space="preserve">Some technical depth but no formal IP or approvals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7F1D1D"/>
                <w:sz w:val="18"/>
                <w:szCs w:val="18"/>
              </w:rPr>
              <w:t xml:space="preserve">Commodity product; no moat; easily replicated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C4  DM Quality</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65F46"/>
                <w:sz w:val="18"/>
                <w:szCs w:val="18"/>
              </w:rPr>
              <w:t xml:space="preserve">PhD / IIT / IISc founder  OR  operator who built ERP, structured costing, or formal planning infrastructure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E3A8A"/>
                <w:sz w:val="18"/>
                <w:szCs w:val="18"/>
              </w:rPr>
              <w:t xml:space="preserve">Gen-2 with formal education  OR  some structured ops evidence without full confirmation</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7F1D1D"/>
                <w:sz w:val="18"/>
                <w:szCs w:val="18"/>
              </w:rPr>
              <w:t xml:space="preserve">Non-technical promoter; no systems thinking; outsource mindset</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C5  Growing Sector</w:t>
            </w:r>
          </w:p>
        </w:tc>
        <w:tc>
          <w:tcPr>
            <w:tcW w:type="dxa" w:w="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65F46"/>
                <w:sz w:val="18"/>
                <w:szCs w:val="18"/>
              </w:rPr>
              <w:t xml:space="preserve">PLI eligible; China+1 beneficiary; Make-in-India push; active export tailwinds; government procurement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E3A8A"/>
                <w:sz w:val="18"/>
                <w:szCs w:val="18"/>
              </w:rPr>
              <w:t xml:space="preserve">Stable sector without specific government tailwinds or export momentum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7F1D1D"/>
                <w:sz w:val="18"/>
                <w:szCs w:val="18"/>
              </w:rPr>
              <w:t xml:space="preserve">Declining or stagnant sector; no policy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C6  Growth Signals</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65F46"/>
                <w:sz w:val="18"/>
                <w:szCs w:val="18"/>
              </w:rPr>
              <w:t xml:space="preserve">2 or more of: active hiring · new facility · new certification · website current year · revenue growth or new export market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E3A8A"/>
                <w:sz w:val="18"/>
                <w:szCs w:val="18"/>
              </w:rPr>
              <w:t xml:space="preserve">Exactly 1 signal from the threshold list</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7F1D1D"/>
                <w:sz w:val="18"/>
                <w:szCs w:val="18"/>
              </w:rPr>
              <w:t xml:space="preserve">No visible activity in the last 2 years across all five signals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C7  Systems Maturity</w:t>
            </w:r>
          </w:p>
        </w:tc>
        <w:tc>
          <w:tcPr>
            <w:tcW w:type="dxa" w:w="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65F46"/>
                <w:sz w:val="18"/>
                <w:szCs w:val="18"/>
              </w:rPr>
              <w:t xml:space="preserve">SAP / ERP confirmed; structured costing; MIS dashboards in use; digital infrastructure operational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E3A8A"/>
                <w:sz w:val="18"/>
                <w:szCs w:val="18"/>
              </w:rPr>
              <w:t xml:space="preserve">Some IT evidence (IT head, ERP mention in report) but depth unconfirmed</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7F1D1D"/>
                <w:sz w:val="18"/>
                <w:szCs w:val="18"/>
              </w:rPr>
              <w:t xml:space="preserve">No ERP; paper-based processes; founder intuition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C8  Succession</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20"/>
                <w:szCs w:val="20"/>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65F46"/>
                <w:sz w:val="18"/>
                <w:szCs w:val="18"/>
              </w:rPr>
              <w:t xml:space="preserve">Gen-2 formally on board in operational role  AND / OR  multiple external professional managers with distinct portfolios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E3A8A"/>
                <w:sz w:val="18"/>
                <w:szCs w:val="18"/>
              </w:rPr>
              <w:t xml:space="preserve">Gen-2 exists but involvement unclear  OR  one external professional hire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7F1D1D"/>
                <w:sz w:val="18"/>
                <w:szCs w:val="18"/>
              </w:rPr>
              <w:t xml:space="preserve">Solo founder; no gen-2; all titles on one person; no professional management layer</w:t>
            </w:r>
          </w:p>
        </w:tc>
      </w:tr>
    </w:tbl>
    <w:p>
      <w:pPr>
        <w:spacing w:after="80" w:before="40"/>
        <w:jc w:val="left"/>
      </w:pPr>
      <w:r>
        <w:rPr>
          <w:rFonts w:ascii="Calibri" w:cs="Calibri" w:eastAsia="Calibri" w:hAnsi="Calibri"/>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9"/>
                <w:szCs w:val="19"/>
              </w:rPr>
              <w:t xml:space="preserve">A  ·  80–100  ·  Strong Federer</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9"/>
                <w:szCs w:val="19"/>
              </w:rPr>
              <w:t xml:space="preserve">B  ·  60–79  ·  Probable Federer</w:t>
            </w:r>
          </w:p>
        </w:tc>
        <w:tc>
          <w:tcPr>
            <w:tcW w:type="dxa" w:w="234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8350F"/>
                <w:sz w:val="19"/>
                <w:szCs w:val="19"/>
              </w:rPr>
              <w:t xml:space="preserve">C  ·  40–59  ·  Borderline</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9"/>
                <w:szCs w:val="19"/>
              </w:rPr>
              <w:t xml:space="preserve">D  ·  &lt; 40  ·  Not ICP</w:t>
            </w:r>
          </w:p>
        </w:tc>
      </w:tr>
    </w:tbl>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5.  Mumbai Research — Findings</w:t>
      </w:r>
    </w:p>
    <w:p>
      <w:pPr>
        <w:pStyle w:val="Heading2"/>
        <w:spacing w:after="80" w:before="240"/>
        <w:jc w:val="left"/>
      </w:pPr>
      <w:r>
        <w:rPr>
          <w:rFonts w:ascii="Calibri" w:cs="Calibri" w:eastAsia="Calibri" w:hAnsi="Calibri"/>
          <w:b/>
          <w:bCs/>
          <w:i w:val="false"/>
          <w:iCs w:val="false"/>
          <w:color w:val="1B6CA8"/>
          <w:sz w:val="26"/>
          <w:szCs w:val="26"/>
        </w:rPr>
        <w:t xml:space="preserve">5.1  Company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780"/>
        <w:gridCol w:w="780"/>
        <w:gridCol w:w="800"/>
        <w:gridCol w:w="800"/>
        <w:gridCol w:w="150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Segment</w:t>
            </w:r>
          </w:p>
        </w:tc>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Revenue</w:t>
            </w:r>
          </w:p>
        </w:tc>
        <w:tc>
          <w:tcPr>
            <w:tcW w:type="dxa" w:w="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E1</w:t>
            </w:r>
          </w:p>
        </w:tc>
        <w:tc>
          <w:tcPr>
            <w:tcW w:type="dxa" w:w="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E2</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Score</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Band</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18"/>
                <w:szCs w:val="18"/>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Fineotex Chemical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Perf. chemicals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Rs.300–500Cr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9"/>
                <w:szCs w:val="19"/>
              </w:rPr>
              <w:t xml:space="preserve">95</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A</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Strong 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Ion Exchange India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Water treatment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Rs.300–500Cr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9"/>
                <w:szCs w:val="19"/>
              </w:rPr>
              <w:t xml:space="preserve">88</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A</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Strong 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Rossari Biotech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Specialty biotech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Rs.100–300Cr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9"/>
                <w:szCs w:val="19"/>
              </w:rPr>
              <w:t xml:space="preserve">87</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A</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Strong 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Camlin Fine Sciences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Food ingredients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Rs.100–300Cr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9"/>
                <w:szCs w:val="19"/>
              </w:rPr>
              <w:t xml:space="preserve">80</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A</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7"/>
                <w:szCs w:val="17"/>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DMCC Speciality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Custom synthesis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Rs.100–300Cr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9"/>
                <w:szCs w:val="19"/>
              </w:rPr>
              <w:t xml:space="preserve">73</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7"/>
                <w:szCs w:val="17"/>
              </w:rPr>
              <w:t xml:space="preserve">B</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7"/>
                <w:szCs w:val="17"/>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Heubach Colorants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Pigments &amp; dyes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Rs.100–300Cr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9"/>
                <w:szCs w:val="19"/>
              </w:rPr>
              <w:t xml:space="preserve">72</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7"/>
                <w:szCs w:val="17"/>
              </w:rPr>
              <w:t xml:space="preserve">B</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1E3A8A"/>
                <w:sz w:val="17"/>
                <w:szCs w:val="17"/>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Kilburn Engineering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Process equip.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Rs.50–100Cr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8350F"/>
                <w:sz w:val="19"/>
                <w:szCs w:val="19"/>
              </w:rPr>
              <w:t xml:space="preserve">60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8350F"/>
                <w:sz w:val="17"/>
                <w:szCs w:val="17"/>
              </w:rPr>
              <w:t xml:space="preserve">B</w:t>
            </w:r>
          </w:p>
        </w:tc>
        <w:tc>
          <w:tcPr>
            <w:tcW w:type="dxa" w:w="1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8350F"/>
                <w:sz w:val="17"/>
                <w:szCs w:val="17"/>
              </w:rPr>
              <w:t xml:space="preserve">Borderline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Sun Pharma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Generic pharma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&gt;Rs.500Cr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9"/>
                <w:szCs w:val="19"/>
              </w:rPr>
              <w:t xml:space="preserve">0</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7"/>
                <w:szCs w:val="17"/>
              </w:rPr>
              <w:t xml:space="preserve">D</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7"/>
                <w:szCs w:val="17"/>
              </w:rPr>
              <w:t xml:space="preserve">FAIL —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Wockhardt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Complex pharma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&gt;Rs.500Cr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9"/>
                <w:szCs w:val="19"/>
              </w:rPr>
              <w:t xml:space="preserve">0</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7"/>
                <w:szCs w:val="17"/>
              </w:rPr>
              <w:t xml:space="preserve">D</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7"/>
                <w:szCs w:val="17"/>
              </w:rPr>
              <w:t xml:space="preserve">FAIL —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Godrej &amp; Boyce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374151"/>
                <w:sz w:val="18"/>
                <w:szCs w:val="18"/>
              </w:rPr>
              <w:t xml:space="preserve">Conglomerate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center"/>
            </w:pPr>
            <w:r>
              <w:rPr>
                <w:rFonts w:ascii="Calibri" w:cs="Calibri" w:eastAsia="Calibri" w:hAnsi="Calibri"/>
                <w:b w:val="false"/>
                <w:bCs w:val="false"/>
                <w:i w:val="false"/>
                <w:iCs w:val="false"/>
                <w:color w:val="111827"/>
                <w:sz w:val="18"/>
                <w:szCs w:val="18"/>
              </w:rPr>
              <w:t xml:space="preserve">&gt;Rs.500Cr</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7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065F46"/>
                <w:sz w:val="18"/>
                <w:szCs w:val="18"/>
              </w:rPr>
              <w:t xml:space="preserve">PASS</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9"/>
                <w:szCs w:val="19"/>
              </w:rPr>
              <w:t xml:space="preserve">0</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7"/>
                <w:szCs w:val="17"/>
              </w:rPr>
              <w:t xml:space="preserve">D</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7F1D1D"/>
                <w:sz w:val="17"/>
                <w:szCs w:val="17"/>
              </w:rPr>
              <w:t xml:space="preserve">FAIL — Group sub.</w:t>
            </w:r>
          </w:p>
        </w:tc>
      </w:tr>
    </w:tbl>
    <w:p>
      <w:pPr>
        <w:spacing w:after="80" w:before="60"/>
        <w:jc w:val="left"/>
      </w:pPr>
      <w:r>
        <w:rPr>
          <w:rFonts w:ascii="Calibri" w:cs="Calibri" w:eastAsia="Calibri" w:hAnsi="Calibri"/>
          <w:b w:val="false"/>
          <w:bCs w:val="false"/>
          <w:i w:val="false"/>
          <w:iCs w:val="false"/>
          <w:color w:val="111827"/>
          <w:sz w:val="22"/>
          <w:szCs w:val="22"/>
        </w:rPr>
        <w:t xml:space="preserve"/>
      </w:r>
    </w:p>
    <w:p>
      <w:pPr>
        <w:pStyle w:val="Heading2"/>
        <w:spacing w:after="80" w:before="240"/>
        <w:jc w:val="left"/>
      </w:pPr>
      <w:r>
        <w:rPr>
          <w:rFonts w:ascii="Calibri" w:cs="Calibri" w:eastAsia="Calibri" w:hAnsi="Calibri"/>
          <w:b/>
          <w:bCs/>
          <w:i w:val="false"/>
          <w:iCs w:val="false"/>
          <w:color w:val="1B6CA8"/>
          <w:sz w:val="26"/>
          <w:szCs w:val="26"/>
        </w:rPr>
        <w:t xml:space="preserve">5.2  Key patterns observed</w:t>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Pattern 1 — Operator vs. scientist founder.</w:t>
      </w:r>
      <w:r>
        <w:rPr>
          <w:rFonts w:ascii="Calibri" w:cs="Calibri" w:eastAsia="Calibri" w:hAnsi="Calibri"/>
          <w:b w:val="false"/>
          <w:bCs w:val="false"/>
          <w:i w:val="false"/>
          <w:iCs w:val="false"/>
          <w:color w:val="111827"/>
          <w:sz w:val="22"/>
          <w:szCs w:val="22"/>
        </w:rPr>
        <w:t xml:space="preserve"> Mumbai's strongest Federer companies are operator-founders in specialty chemicals — not scientists. Unlike Hyderabad (where ISRO/HAL alumni dominate), Mumbai's best profiles are long-tenured operators who built structured companies through ERP investment and market expansion. Fineotex (45 yrs, SAP-run, 70-country distribution) is the archetype.</w:t>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Pattern 2 — Legacy brand ≠ independent promoter.</w:t>
      </w:r>
      <w:r>
        <w:rPr>
          <w:rFonts w:ascii="Calibri" w:cs="Calibri" w:eastAsia="Calibri" w:hAnsi="Calibri"/>
          <w:b w:val="false"/>
          <w:bCs w:val="false"/>
          <w:i w:val="false"/>
          <w:iCs w:val="false"/>
          <w:color w:val="111827"/>
          <w:sz w:val="22"/>
          <w:szCs w:val="22"/>
        </w:rPr>
        <w:t xml:space="preserve"> Several Mumbai specialty chemical companies are 'probably acquired' risks — Heubach (formerly Clariant), DMCC (Priyamvada Birla estate link). Always check current ownership before scoring, not just the public brand name.</w:t>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Pattern 3 — Vertical integration as structural moat.</w:t>
      </w:r>
      <w:r>
        <w:rPr>
          <w:rFonts w:ascii="Calibri" w:cs="Calibri" w:eastAsia="Calibri" w:hAnsi="Calibri"/>
          <w:b w:val="false"/>
          <w:bCs w:val="false"/>
          <w:i w:val="false"/>
          <w:iCs w:val="false"/>
          <w:color w:val="111827"/>
          <w:sz w:val="22"/>
          <w:szCs w:val="22"/>
        </w:rPr>
        <w:t xml:space="preserve"> Ion Exchange is a textbook vertical integration moat: they make the resin AND engineer the full water treatment plant around it. Competitors who only make resins or only build plants cannot replicate this. Look for this pattern in other segments.</w:t>
      </w:r>
    </w:p>
    <w:p>
      <w:pPr>
        <w:pStyle w:val="ListParagraph"/>
        <w:numPr>
          <w:ilvl w:val="0"/>
          <w:numId w:val="2"/>
        </w:numPr>
        <w:spacing w:after="40" w:before="40"/>
        <w:jc w:val="left"/>
      </w:pPr>
      <w:r>
        <w:rPr>
          <w:rFonts w:ascii="Calibri" w:cs="Calibri" w:eastAsia="Calibri" w:hAnsi="Calibri"/>
          <w:b/>
          <w:bCs/>
          <w:i w:val="false"/>
          <w:iCs w:val="false"/>
          <w:color w:val="111827"/>
          <w:sz w:val="22"/>
          <w:szCs w:val="22"/>
        </w:rPr>
        <w:t xml:space="preserve">Pattern 4 — Mumbai's well-known names are too large.</w:t>
      </w:r>
      <w:r>
        <w:rPr>
          <w:rFonts w:ascii="Calibri" w:cs="Calibri" w:eastAsia="Calibri" w:hAnsi="Calibri"/>
          <w:b w:val="false"/>
          <w:bCs w:val="false"/>
          <w:i w:val="false"/>
          <w:iCs w:val="false"/>
          <w:color w:val="111827"/>
          <w:sz w:val="22"/>
          <w:szCs w:val="22"/>
        </w:rPr>
        <w:t xml:space="preserve"> All three disqualifications were on revenue, not quality. Sun Pharma, Wockhardt, and Godrej &amp; Boyce would each score well on other criteria. Mumbai's ICP-eligible companies sit one tier below the famous names.</w:t>
      </w:r>
    </w:p>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6.  What I Learned About the Segments</w:t>
      </w:r>
    </w:p>
    <w:p>
      <w:pPr>
        <w:pStyle w:val="Heading2"/>
        <w:spacing w:after="80" w:before="240"/>
        <w:jc w:val="left"/>
      </w:pPr>
      <w:r>
        <w:rPr>
          <w:rFonts w:ascii="Calibri" w:cs="Calibri" w:eastAsia="Calibri" w:hAnsi="Calibri"/>
          <w:b/>
          <w:bCs/>
          <w:i w:val="false"/>
          <w:iCs w:val="false"/>
          <w:color w:val="1B6CA8"/>
          <w:sz w:val="26"/>
          <w:szCs w:val="26"/>
        </w:rPr>
        <w:t xml:space="preserve">Performance chemicals — China+1 is real but uneven</w:t>
      </w:r>
    </w:p>
    <w:p>
      <w:pPr>
        <w:spacing w:after="60" w:before="60"/>
        <w:jc w:val="left"/>
      </w:pPr>
      <w:r>
        <w:rPr>
          <w:rFonts w:ascii="Calibri" w:cs="Calibri" w:eastAsia="Calibri" w:hAnsi="Calibri"/>
          <w:b w:val="false"/>
          <w:bCs w:val="false"/>
          <w:i w:val="false"/>
          <w:iCs w:val="false"/>
          <w:color w:val="111827"/>
          <w:sz w:val="22"/>
          <w:szCs w:val="22"/>
        </w:rPr>
        <w:t xml:space="preserve">The China+1 opportunity is concentrated in specific sub-segments: textile auxiliary chemicals, food-grade antioxidants, and specialty pigments. Companies that anticipated this — Fineotex (Malaysia capacity from 2015), Rossari (3 acquisitions 2020–2022) — are pulling ahead. Laggards are investing now but face a 2–3 year qualification lag before global buyers approve new plants.</w:t>
      </w:r>
    </w:p>
    <w:p>
      <w:pPr>
        <w:spacing w:after="80" w:before="40"/>
        <w:jc w:val="left"/>
      </w:pPr>
      <w:r>
        <w:rPr>
          <w:rFonts w:ascii="Calibri" w:cs="Calibri" w:eastAsia="Calibri" w:hAnsi="Calibri"/>
          <w:b w:val="false"/>
          <w:bCs w:val="false"/>
          <w:i w:val="false"/>
          <w:iCs w:val="false"/>
          <w:color w:val="111827"/>
          <w:sz w:val="22"/>
          <w:szCs w:val="22"/>
        </w:rPr>
        <w:t xml:space="preserve"/>
      </w:r>
    </w:p>
    <w:p>
      <w:pPr>
        <w:pStyle w:val="Heading2"/>
        <w:spacing w:after="80" w:before="240"/>
        <w:jc w:val="left"/>
      </w:pPr>
      <w:r>
        <w:rPr>
          <w:rFonts w:ascii="Calibri" w:cs="Calibri" w:eastAsia="Calibri" w:hAnsi="Calibri"/>
          <w:b/>
          <w:bCs/>
          <w:i w:val="false"/>
          <w:iCs w:val="false"/>
          <w:color w:val="1B6CA8"/>
          <w:sz w:val="26"/>
          <w:szCs w:val="26"/>
        </w:rPr>
        <w:t xml:space="preserve">Systems maturity is the real differentiator within the ICP band</w:t>
      </w:r>
    </w:p>
    <w:p>
      <w:pPr>
        <w:spacing w:after="60" w:before="60"/>
        <w:jc w:val="left"/>
      </w:pPr>
      <w:r>
        <w:rPr>
          <w:rFonts w:ascii="Calibri" w:cs="Calibri" w:eastAsia="Calibri" w:hAnsi="Calibri"/>
          <w:b w:val="false"/>
          <w:bCs w:val="false"/>
          <w:i w:val="false"/>
          <w:iCs w:val="false"/>
          <w:color w:val="111827"/>
          <w:sz w:val="22"/>
          <w:szCs w:val="22"/>
        </w:rPr>
        <w:t xml:space="preserve">C7 was the sharpest separator among companies that passed all gates. Fineotex (SAP, structured pricing, multi-plant coordination) scored 20/20. Kilburn Engineering (single plant, no confirmed ERP) scored 10/20. Product differentiation was broadly similar — operational infrastructure was not. Companies that have already invested in structured operations are the ones most ready to extract diagnostic value from DT's work.</w:t>
      </w:r>
    </w:p>
    <w:p>
      <w:pPr>
        <w:spacing w:after="80" w:before="40"/>
        <w:jc w:val="left"/>
      </w:pPr>
      <w:r>
        <w:rPr>
          <w:rFonts w:ascii="Calibri" w:cs="Calibri" w:eastAsia="Calibri" w:hAnsi="Calibri"/>
          <w:b w:val="false"/>
          <w:bCs w:val="false"/>
          <w:i w:val="false"/>
          <w:iCs w:val="false"/>
          <w:color w:val="111827"/>
          <w:sz w:val="22"/>
          <w:szCs w:val="22"/>
        </w:rPr>
        <w:t xml:space="preserve"/>
      </w:r>
    </w:p>
    <w:p>
      <w:pPr>
        <w:pStyle w:val="Heading2"/>
        <w:spacing w:after="80" w:before="240"/>
        <w:jc w:val="left"/>
      </w:pPr>
      <w:r>
        <w:rPr>
          <w:rFonts w:ascii="Calibri" w:cs="Calibri" w:eastAsia="Calibri" w:hAnsi="Calibri"/>
          <w:b/>
          <w:bCs/>
          <w:i w:val="false"/>
          <w:iCs w:val="false"/>
          <w:color w:val="1B6CA8"/>
          <w:sz w:val="26"/>
          <w:szCs w:val="26"/>
        </w:rPr>
        <w:t xml:space="preserve">C8 (Succession) is the hardest criterion to verify</w:t>
      </w:r>
    </w:p>
    <w:p>
      <w:pPr>
        <w:spacing w:after="60" w:before="60"/>
        <w:jc w:val="left"/>
      </w:pPr>
      <w:r>
        <w:rPr>
          <w:rFonts w:ascii="Calibri" w:cs="Calibri" w:eastAsia="Calibri" w:hAnsi="Calibri"/>
          <w:b w:val="false"/>
          <w:bCs w:val="false"/>
          <w:i w:val="false"/>
          <w:iCs w:val="false"/>
          <w:color w:val="111827"/>
          <w:sz w:val="22"/>
          <w:szCs w:val="22"/>
        </w:rPr>
        <w:t xml:space="preserve">Mumbai companies are more likely to have professional management than smaller cities — but distinguishing a real operational gen-2 from a nominal equity director is hard from public data. Most reliable signal: MCA appointment date of the gen-2 director cross-referenced with LinkedIn activity. A director appointed in 2019 with no LinkedIn posts in 4 years is not operationally involved.</w:t>
      </w:r>
    </w:p>
    <w:p>
      <w:pPr>
        <w:spacing w:after="80" w:before="80"/>
        <w:jc w:val="left"/>
      </w:pPr>
      <w:r>
        <w:rPr>
          <w:rFonts w:ascii="Calibri" w:cs="Calibri" w:eastAsia="Calibri" w:hAnsi="Calibri"/>
          <w:b w:val="false"/>
          <w:bCs w:val="false"/>
          <w:i w:val="false"/>
          <w:iCs w:val="false"/>
          <w:color w:val="111827"/>
          <w:sz w:val="22"/>
          <w:szCs w:val="22"/>
        </w:rPr>
        <w:t xml:space="preserve"/>
      </w:r>
    </w:p>
    <w:p>
      <w:pPr>
        <w:pStyle w:val="Heading1"/>
        <w:spacing w:after="120" w:before="300"/>
        <w:jc w:val="left"/>
      </w:pPr>
      <w:r>
        <w:rPr>
          <w:rFonts w:ascii="Calibri" w:cs="Calibri" w:eastAsia="Calibri" w:hAnsi="Calibri"/>
          <w:b/>
          <w:bCs/>
          <w:i w:val="false"/>
          <w:iCs w:val="false"/>
          <w:color w:val="0D1B2A"/>
          <w:sz w:val="32"/>
          <w:szCs w:val="32"/>
        </w:rPr>
        <w:t xml:space="preserve">7.  Sources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Source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Used for</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18"/>
                <w:szCs w:val="18"/>
              </w:rPr>
              <w:t xml:space="preserve">URL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Screener.in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Revenue, profitability, promoter holding, peer comparison for BSE-listed companies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screener.in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BSE filings (FY24 / FY25)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Verified current revenue; promoter holding changes; director appointments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bseindia.com</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Tofler / MCA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Private company revenues; director names and appointment dates; ownership 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tofler.in / mca.gov.in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LinkedIn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DM background, IT/ERP roles posted, gen-2 director activity, hiring signals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linkedin.com</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Company websites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E1 verification, product lines, certifications, R&amp;D claims, facility info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Individual company URLs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Chemexcil / MIDC directory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Private specialty chemical manufacturers not on BSE; geographic cluster check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chemexcil.in / midcindia.org</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Google News (2024–2026)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C6 growth signals: facility expansions, new certifications, export market entries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google.com/news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11827"/>
                <w:sz w:val="19"/>
                <w:szCs w:val="19"/>
              </w:rPr>
              <w:t xml:space="preserve">USFDA facility database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11827"/>
                <w:sz w:val="18"/>
                <w:szCs w:val="18"/>
              </w:rPr>
              <w:t xml:space="preserve">Verified USFDA-approved plants for Camlin Fine Sciences and Rossari Biotech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B6CA8"/>
                <w:sz w:val="17"/>
                <w:szCs w:val="17"/>
              </w:rPr>
              <w:t xml:space="preserve">fda.gov</w:t>
            </w:r>
          </w:p>
        </w:tc>
      </w:tr>
    </w:tbl>
    <w:p>
      <w:pPr>
        <w:spacing w:after="80" w:before="120"/>
        <w:jc w:val="left"/>
      </w:pPr>
      <w:r>
        <w:rPr>
          <w:rFonts w:ascii="Calibri" w:cs="Calibri" w:eastAsia="Calibri" w:hAnsi="Calibri"/>
          <w:b w:val="false"/>
          <w:bCs w:val="false"/>
          <w:i w:val="false"/>
          <w:iCs w:val="false"/>
          <w:color w:val="111827"/>
          <w:sz w:val="22"/>
          <w:szCs w:val="22"/>
        </w:rPr>
        <w:t xml:space="preserve"/>
      </w:r>
    </w:p>
    <w:p>
      <w:pPr>
        <w:pBdr>
          <w:bottom w:val="single" w:color="DDE3EA" w:sz="4" w:space="1"/>
        </w:pBdr>
        <w:spacing w:after="80" w:before="80"/>
        <w:jc w:val="left"/>
      </w:pPr>
      <w:r>
        <w:rPr>
          <w:rFonts w:ascii="Calibri" w:cs="Calibri" w:eastAsia="Calibri" w:hAnsi="Calibri"/>
          <w:b w:val="false"/>
          <w:bCs w:val="false"/>
          <w:i w:val="false"/>
          <w:iCs w:val="false"/>
          <w:color w:val="111827"/>
          <w:sz w:val="22"/>
          <w:szCs w:val="22"/>
        </w:rPr>
        <w:t xml:space="preserve"/>
      </w:r>
    </w:p>
    <w:p>
      <w:pPr>
        <w:spacing w:after="80" w:before="80"/>
        <w:jc w:val="center"/>
      </w:pPr>
      <w:r>
        <w:rPr>
          <w:rFonts w:ascii="Calibri" w:cs="Calibri" w:eastAsia="Calibri" w:hAnsi="Calibri"/>
          <w:b w:val="false"/>
          <w:bCs w:val="false"/>
          <w:i/>
          <w:iCs/>
          <w:color w:val="9CA3AF"/>
          <w:sz w:val="18"/>
          <w:szCs w:val="18"/>
        </w:rPr>
        <w:t xml:space="preserve">DeepThought Business Analytics Internship  ·  Mumbai Research Methodology  ·  June 2026  ·  Internship candidate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0D1B2A"/>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B6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2026-06-18T04:15:03.677Z</dcterms:created>
  <dcterms:modified xsi:type="dcterms:W3CDTF">2026-06-18T04:15:03.677Z</dcterms:modified>
</cp:coreProperties>
</file>

<file path=docProps/custom.xml><?xml version="1.0" encoding="utf-8"?>
<Properties xmlns="http://schemas.openxmlformats.org/officeDocument/2006/custom-properties" xmlns:vt="http://schemas.openxmlformats.org/officeDocument/2006/docPropsVTypes"/>
</file>