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Times New Roman" w:cs="Times New Roman" w:eastAsia="Times New Roman" w:hAnsi="Times New Roman"/>
          <w:sz w:val="22"/>
          <w:szCs w:val="22"/>
        </w:rPr>
        <w:t xml:space="preserve"/>
      </w:r>
    </w:p>
    <w:p>
      <w:pPr>
        <w:spacing w:after="120" w:line="360"/>
        <w:jc w:val="left"/>
      </w:pPr>
      <w:r>
        <w:rPr>
          <w:rFonts w:ascii="Times New Roman" w:cs="Times New Roman" w:eastAsia="Times New Roman" w:hAnsi="Times New Roman"/>
          <w:b/>
          <w:bCs/>
          <w:sz w:val="44"/>
          <w:szCs w:val="44"/>
        </w:rPr>
        <w:t xml:space="preserve">Hedgyyyboo: A Multi-Asset Quantitative Analytics</w:t>
      </w:r>
    </w:p>
    <w:p>
      <w:pPr>
        <w:spacing w:after="320" w:line="360"/>
        <w:jc w:val="left"/>
      </w:pPr>
      <w:r>
        <w:rPr>
          <w:rFonts w:ascii="Times New Roman" w:cs="Times New Roman" w:eastAsia="Times New Roman" w:hAnsi="Times New Roman"/>
          <w:b/>
          <w:bCs/>
          <w:sz w:val="44"/>
          <w:szCs w:val="44"/>
        </w:rPr>
        <w:t xml:space="preserve">Platform with Autonomous Trade Engine, ML Screener and Live Marine-AIS Research</w:t>
      </w:r>
    </w:p>
    <w:p>
      <w:pPr>
        <w:spacing w:after="120" w:before="0" w:line="360"/>
        <w:jc w:val="center"/>
      </w:pPr>
      <w:r>
        <w:rPr>
          <w:rFonts w:ascii="Times New Roman" w:cs="Times New Roman" w:eastAsia="Times New Roman" w:hAnsi="Times New Roman"/>
          <w:b/>
          <w:bCs/>
          <w:sz w:val="24"/>
          <w:szCs w:val="24"/>
        </w:rPr>
        <w:t xml:space="preserve">Project Report submitted in the partial fulfilment</w:t>
      </w:r>
    </w:p>
    <w:p>
      <w:pPr>
        <w:spacing w:after="120" w:before="0" w:line="360"/>
        <w:jc w:val="center"/>
      </w:pPr>
      <w:r>
        <w:rPr>
          <w:rFonts w:ascii="Times New Roman" w:cs="Times New Roman" w:eastAsia="Times New Roman" w:hAnsi="Times New Roman"/>
          <w:sz w:val="24"/>
          <w:szCs w:val="24"/>
        </w:rPr>
        <w:t xml:space="preserve">of</w:t>
      </w:r>
    </w:p>
    <w:p>
      <w:pPr>
        <w:spacing w:after="40" w:before="0" w:line="360"/>
        <w:jc w:val="center"/>
      </w:pPr>
      <w:r>
        <w:rPr>
          <w:rFonts w:ascii="Times New Roman" w:cs="Times New Roman" w:eastAsia="Times New Roman" w:hAnsi="Times New Roman"/>
          <w:b/>
          <w:bCs/>
          <w:color w:val="2E75B6"/>
          <w:sz w:val="26"/>
          <w:szCs w:val="26"/>
        </w:rPr>
        <w:t xml:space="preserve">Bachelor of Technology in</w:t>
      </w:r>
    </w:p>
    <w:p>
      <w:pPr>
        <w:spacing w:after="180" w:before="0" w:line="360"/>
        <w:jc w:val="center"/>
      </w:pPr>
      <w:r>
        <w:rPr>
          <w:rFonts w:ascii="Times New Roman" w:cs="Times New Roman" w:eastAsia="Times New Roman" w:hAnsi="Times New Roman"/>
          <w:b/>
          <w:bCs/>
          <w:color w:val="2E75B6"/>
          <w:sz w:val="26"/>
          <w:szCs w:val="26"/>
        </w:rPr>
        <w:t xml:space="preserve">Computer Engineering</w:t>
      </w:r>
    </w:p>
    <w:p>
      <w:pPr>
        <w:spacing w:after="80" w:before="0" w:line="360"/>
        <w:jc w:val="center"/>
      </w:pPr>
      <w:r>
        <w:rPr>
          <w:rFonts w:ascii="Times New Roman" w:cs="Times New Roman" w:eastAsia="Times New Roman" w:hAnsi="Times New Roman"/>
          <w:sz w:val="24"/>
          <w:szCs w:val="24"/>
        </w:rPr>
        <w:t xml:space="preserve">by</w:t>
      </w:r>
    </w:p>
    <w:p>
      <w:pPr>
        <w:spacing w:after="120" w:before="0" w:line="360"/>
        <w:jc w:val="center"/>
      </w:pPr>
      <w:r>
        <w:rPr>
          <w:rFonts w:ascii="Times New Roman" w:cs="Times New Roman" w:eastAsia="Times New Roman" w:hAnsi="Times New Roman"/>
          <w:b/>
          <w:bCs/>
          <w:sz w:val="24"/>
          <w:szCs w:val="24"/>
        </w:rPr>
        <w:t xml:space="preserve">Prathmesh Deshmukh (Roll No.: XXXXXXXX)</w:t>
      </w:r>
    </w:p>
    <w:p>
      <w:pPr>
        <w:spacing w:after="80" w:before="0" w:line="360"/>
        <w:jc w:val="center"/>
      </w:pPr>
      <w:r>
        <w:rPr>
          <w:rFonts w:ascii="Times New Roman" w:cs="Times New Roman" w:eastAsia="Times New Roman" w:hAnsi="Times New Roman"/>
          <w:sz w:val="22"/>
          <w:szCs w:val="22"/>
        </w:rPr>
        <w:t xml:space="preserve">Under the supervision of</w:t>
      </w:r>
    </w:p>
    <w:p>
      <w:pPr>
        <w:spacing w:after="80" w:before="0" w:line="360"/>
        <w:jc w:val="center"/>
      </w:pPr>
      <w:r>
        <w:rPr>
          <w:rFonts w:ascii="Times New Roman" w:cs="Times New Roman" w:eastAsia="Times New Roman" w:hAnsi="Times New Roman"/>
          <w:b/>
          <w:bCs/>
          <w:sz w:val="24"/>
          <w:szCs w:val="24"/>
          <w:u w:val="single"/>
        </w:rPr>
        <w:t xml:space="preserve">Prof. [Name of Faculty Mentor]</w:t>
      </w:r>
    </w:p>
    <w:p>
      <w:pPr>
        <w:spacing w:after="240" w:before="0" w:line="360"/>
        <w:jc w:val="center"/>
      </w:pPr>
      <w:r>
        <w:rPr>
          <w:rFonts w:ascii="Times New Roman" w:cs="Times New Roman" w:eastAsia="Times New Roman" w:hAnsi="Times New Roman"/>
          <w:i/>
          <w:iCs/>
          <w:sz w:val="22"/>
          <w:szCs w:val="22"/>
        </w:rPr>
        <w:t xml:space="preserve">(Designation, Department of Computer Engineering, MPSTME)</w:t>
      </w:r>
    </w:p>
    <w:p>
      <w:pPr>
        <w:spacing w:after="80" w:before="0" w:line="360"/>
        <w:jc w:val="center"/>
      </w:pPr>
      <w:r>
        <w:rPr>
          <w:rFonts w:ascii="Times New Roman" w:cs="Times New Roman" w:eastAsia="Times New Roman" w:hAnsi="Times New Roman"/>
          <w:b/>
          <w:bCs/>
          <w:sz w:val="28"/>
          <w:szCs w:val="28"/>
        </w:rPr>
        <w:t xml:space="preserve">SVKM's NMIMS University</w:t>
      </w:r>
    </w:p>
    <w:p>
      <w:pPr>
        <w:spacing w:after="240" w:before="0" w:line="360"/>
        <w:jc w:val="center"/>
      </w:pPr>
      <w:r>
        <w:rPr>
          <w:rFonts w:ascii="Times New Roman" w:cs="Times New Roman" w:eastAsia="Times New Roman" w:hAnsi="Times New Roman"/>
          <w:i/>
          <w:iCs/>
          <w:sz w:val="22"/>
          <w:szCs w:val="22"/>
        </w:rPr>
        <w:t xml:space="preserve">(Deemed-to-be University)</w:t>
      </w:r>
    </w:p>
    <w:p>
      <w:pPr>
        <w:spacing w:after="40" w:before="0" w:line="360"/>
        <w:jc w:val="center"/>
      </w:pPr>
      <w:r>
        <w:rPr>
          <w:rFonts w:ascii="Times New Roman" w:cs="Times New Roman" w:eastAsia="Times New Roman" w:hAnsi="Times New Roman"/>
          <w:b/>
          <w:bCs/>
          <w:sz w:val="24"/>
          <w:szCs w:val="24"/>
        </w:rPr>
        <w:t xml:space="preserve">MUKESH PATEL SCHOOL OF TECHNOLOGY MANAGEMENT &amp;</w:t>
      </w:r>
    </w:p>
    <w:p>
      <w:pPr>
        <w:spacing w:after="80" w:before="0" w:line="360"/>
        <w:jc w:val="center"/>
      </w:pPr>
      <w:r>
        <w:rPr>
          <w:rFonts w:ascii="Times New Roman" w:cs="Times New Roman" w:eastAsia="Times New Roman" w:hAnsi="Times New Roman"/>
          <w:b/>
          <w:bCs/>
          <w:sz w:val="24"/>
          <w:szCs w:val="24"/>
        </w:rPr>
        <w:t xml:space="preserve">ENGINEERING (MPSTME)</w:t>
      </w:r>
    </w:p>
    <w:p>
      <w:pPr>
        <w:spacing w:after="240" w:before="0" w:line="360"/>
        <w:jc w:val="center"/>
      </w:pPr>
      <w:r>
        <w:rPr>
          <w:rFonts w:ascii="Times New Roman" w:cs="Times New Roman" w:eastAsia="Times New Roman" w:hAnsi="Times New Roman"/>
          <w:b/>
          <w:bCs/>
          <w:sz w:val="24"/>
          <w:szCs w:val="24"/>
        </w:rPr>
        <w:t xml:space="preserve">Vile Parle (W), Mumbai-56</w:t>
      </w:r>
    </w:p>
    <w:p>
      <w:pPr>
        <w:spacing w:after="120" w:before="0" w:line="360"/>
        <w:jc w:val="center"/>
      </w:pPr>
      <w:r>
        <w:rPr>
          <w:rFonts w:ascii="Times New Roman" w:cs="Times New Roman" w:eastAsia="Times New Roman" w:hAnsi="Times New Roman"/>
          <w:b/>
          <w:bCs/>
          <w:sz w:val="24"/>
          <w:szCs w:val="24"/>
        </w:rPr>
        <w:t xml:space="preserve">2025-2026</w:t>
      </w:r>
    </w:p>
    <w:p>
      <w:pPr>
        <w:sectPr>
          <w:pgSz w:w="12240" w:h="15840" w:orient="portrait"/>
          <w:pgMar w:top="1440" w:right="1440" w:bottom="1440" w:left="1440" w:header="720" w:footer="720" w:gutter="0"/>
          <w:pgNumType w:start="1" w:fmt="decimal"/>
          <w:docGrid w:linePitch="360"/>
        </w:sectPr>
      </w:pPr>
    </w:p>
    <w:p>
      <w:pPr>
        <w:pageBreakBefore/>
        <w:spacing w:after="120" w:before="400"/>
        <w:jc w:val="center"/>
      </w:pPr>
      <w:r>
        <w:rPr>
          <w:rFonts w:ascii="Times New Roman" w:cs="Times New Roman" w:eastAsia="Times New Roman" w:hAnsi="Times New Roman"/>
          <w:b/>
          <w:bCs/>
          <w:sz w:val="24"/>
          <w:szCs w:val="24"/>
        </w:rPr>
        <w:t xml:space="preserve">(2025-2026)</w:t>
      </w:r>
    </w:p>
    <w:p>
      <w:pPr>
        <w:spacing w:after="400" w:before="0" w:line="360"/>
        <w:jc w:val="center"/>
      </w:pPr>
      <w:r>
        <w:rPr>
          <w:rFonts w:ascii="Times New Roman" w:cs="Times New Roman" w:eastAsia="Times New Roman" w:hAnsi="Times New Roman"/>
          <w:b/>
          <w:bCs/>
          <w:sz w:val="34"/>
          <w:szCs w:val="34"/>
          <w:u w:val="single"/>
        </w:rPr>
        <w:t xml:space="preserve">CERTIFICATE</w:t>
      </w:r>
    </w:p>
    <w:p>
      <w:pPr>
        <w:spacing w:after="200" w:before="240" w:line="360"/>
        <w:jc w:val="both"/>
      </w:pPr>
      <w:r>
        <w:rPr>
          <w:rFonts w:ascii="Times New Roman" w:cs="Times New Roman" w:eastAsia="Times New Roman" w:hAnsi="Times New Roman"/>
          <w:sz w:val="22"/>
          <w:szCs w:val="22"/>
        </w:rPr>
        <w:t xml:space="preserve">This is to certify that the project entitled </w:t>
      </w:r>
      <w:r>
        <w:rPr>
          <w:rFonts w:ascii="Times New Roman" w:cs="Times New Roman" w:eastAsia="Times New Roman" w:hAnsi="Times New Roman"/>
          <w:b/>
          <w:bCs/>
          <w:sz w:val="22"/>
          <w:szCs w:val="22"/>
        </w:rPr>
        <w:t xml:space="preserve">"Hedgyyyboo: A Multi-Asset Quantitative Analytics Platform with Autonomous Trade Engine, ML Screener and Live Marine-AIS Research"</w:t>
      </w:r>
      <w:r>
        <w:rPr>
          <w:rFonts w:ascii="Times New Roman" w:cs="Times New Roman" w:eastAsia="Times New Roman" w:hAnsi="Times New Roman"/>
          <w:sz w:val="22"/>
          <w:szCs w:val="22"/>
        </w:rPr>
        <w:t xml:space="preserve">, has been done by </w:t>
      </w:r>
      <w:r>
        <w:rPr>
          <w:rFonts w:ascii="Times New Roman" w:cs="Times New Roman" w:eastAsia="Times New Roman" w:hAnsi="Times New Roman"/>
          <w:b/>
          <w:bCs/>
          <w:sz w:val="22"/>
          <w:szCs w:val="22"/>
        </w:rPr>
        <w:t xml:space="preserve">Mr. Prathmesh Deshmukh</w:t>
      </w:r>
      <w:r>
        <w:rPr>
          <w:rFonts w:ascii="Times New Roman" w:cs="Times New Roman" w:eastAsia="Times New Roman" w:hAnsi="Times New Roman"/>
          <w:sz w:val="22"/>
          <w:szCs w:val="22"/>
        </w:rPr>
        <w:t xml:space="preserve"> under my guidance and supervision &amp; has been submitted in partial fulfilment of the degree of Bachelor of Technology in Computer Engineering of MPSTME, SVKM's NMIMS (Deemed-to-be University), Mumbai, India.</w:t>
      </w:r>
    </w:p>
    <w:p>
      <w:pPr>
        <w:spacing w:after="120" w:before="480"/>
      </w:pPr>
      <w:r>
        <w:rPr>
          <w:rFonts w:ascii="Times New Roman" w:cs="Times New Roman" w:eastAsia="Times New Roman" w:hAnsi="Times New Roman"/>
          <w:sz w:val="22"/>
          <w:szCs w:val="22"/>
        </w:rPr>
        <w:t xml:space="preserve"/>
      </w:r>
    </w:p>
    <w:p>
      <w:pPr>
        <w:tabs>
          <w:tab w:val="right" w:pos="9000"/>
        </w:tabs>
        <w:spacing w:after="60"/>
      </w:pPr>
      <w:r>
        <w:rPr>
          <w:rFonts w:ascii="Times New Roman" w:cs="Times New Roman" w:eastAsia="Times New Roman" w:hAnsi="Times New Roman"/>
          <w:sz w:val="22"/>
          <w:szCs w:val="22"/>
        </w:rPr>
        <w:t xml:space="preserve">___________________</w:t>
      </w:r>
      <w:r>
        <w:rPr>
          <w:rFonts w:ascii="Times New Roman" w:cs="Times New Roman" w:eastAsia="Times New Roman" w:hAnsi="Times New Roman"/>
          <w:sz w:val="22"/>
          <w:szCs w:val="22"/>
        </w:rPr>
        <w:t xml:space="preserve">	___________________</w:t>
      </w:r>
    </w:p>
    <w:p>
      <w:pPr>
        <w:tabs>
          <w:tab w:val="right" w:pos="9000"/>
        </w:tabs>
        <w:spacing w:after="80"/>
      </w:pPr>
      <w:r>
        <w:rPr>
          <w:rFonts w:ascii="Times New Roman" w:cs="Times New Roman" w:eastAsia="Times New Roman" w:hAnsi="Times New Roman"/>
          <w:b/>
          <w:bCs/>
          <w:sz w:val="22"/>
          <w:szCs w:val="22"/>
        </w:rPr>
        <w:t xml:space="preserve">Project mentor (Name &amp; Signature)</w:t>
      </w:r>
      <w:r>
        <w:rPr>
          <w:rFonts w:ascii="Times New Roman" w:cs="Times New Roman" w:eastAsia="Times New Roman" w:hAnsi="Times New Roman"/>
          <w:b/>
          <w:bCs/>
          <w:sz w:val="22"/>
          <w:szCs w:val="22"/>
        </w:rPr>
        <w:t xml:space="preserve">	Examiner (Name &amp; Signature)</w:t>
      </w:r>
    </w:p>
    <w:p>
      <w:pPr>
        <w:spacing w:after="60"/>
      </w:pPr>
      <w:r>
        <w:rPr>
          <w:rFonts w:ascii="Times New Roman" w:cs="Times New Roman" w:eastAsia="Times New Roman" w:hAnsi="Times New Roman"/>
          <w:i/>
          <w:iCs/>
          <w:sz w:val="22"/>
          <w:szCs w:val="22"/>
        </w:rPr>
        <w:t xml:space="preserve">(Internal Guide)</w:t>
      </w:r>
    </w:p>
    <w:p>
      <w:pPr>
        <w:spacing w:after="120"/>
      </w:pPr>
      <w:r>
        <w:rPr>
          <w:rFonts w:ascii="Times New Roman" w:cs="Times New Roman" w:eastAsia="Times New Roman" w:hAnsi="Times New Roman"/>
          <w:b/>
          <w:bCs/>
          <w:sz w:val="22"/>
          <w:szCs w:val="22"/>
        </w:rPr>
        <w:t xml:space="preserve">Date:</w:t>
      </w:r>
    </w:p>
    <w:p>
      <w:pPr>
        <w:spacing w:after="80" w:before="200"/>
      </w:pPr>
      <w:r>
        <w:rPr>
          <w:rFonts w:ascii="Times New Roman" w:cs="Times New Roman" w:eastAsia="Times New Roman" w:hAnsi="Times New Roman"/>
          <w:b/>
          <w:bCs/>
          <w:sz w:val="22"/>
          <w:szCs w:val="22"/>
          <w:u w:val="single"/>
        </w:rPr>
        <w:t xml:space="preserve">Place: Mumbai</w:t>
      </w:r>
    </w:p>
    <w:p>
      <w:pPr>
        <w:spacing w:after="60" w:before="280"/>
      </w:pPr>
      <w:r>
        <w:rPr>
          <w:rFonts w:ascii="Times New Roman" w:cs="Times New Roman" w:eastAsia="Times New Roman" w:hAnsi="Times New Roman"/>
          <w:b/>
          <w:bCs/>
          <w:sz w:val="22"/>
          <w:szCs w:val="22"/>
        </w:rPr>
        <w:t xml:space="preserve">(HoD) (Name &amp; Signature)</w:t>
      </w:r>
    </w:p>
    <w:p>
      <w:pPr>
        <w:pageBreakBefore/>
        <w:spacing w:after="400" w:before="600" w:line="360"/>
        <w:jc w:val="center"/>
      </w:pPr>
      <w:r>
        <w:rPr>
          <w:rFonts w:ascii="Times New Roman" w:cs="Times New Roman" w:eastAsia="Times New Roman" w:hAnsi="Times New Roman"/>
          <w:b/>
          <w:bCs/>
          <w:sz w:val="34"/>
          <w:szCs w:val="34"/>
          <w:u w:val="single"/>
        </w:rPr>
        <w:t xml:space="preserve">ACKNOWLEDGEMENT</w:t>
      </w:r>
    </w:p>
    <w:p>
      <w:pPr>
        <w:spacing w:after="120" w:line="360"/>
        <w:jc w:val="both"/>
      </w:pPr>
      <w:r>
        <w:rPr>
          <w:rFonts w:ascii="Times New Roman" w:cs="Times New Roman" w:eastAsia="Times New Roman" w:hAnsi="Times New Roman"/>
          <w:sz w:val="22"/>
          <w:szCs w:val="22"/>
        </w:rPr>
        <w:t xml:space="preserve">I would like to express my heartfelt gratitude to my mentor, Prof. [Name of Faculty Mentor], for her constant guidance, valuable insights, and unwavering support throughout the development of this project.</w:t>
      </w:r>
    </w:p>
    <w:p>
      <w:pPr>
        <w:spacing w:after="120" w:line="360"/>
        <w:jc w:val="both"/>
      </w:pPr>
      <w:r>
        <w:rPr>
          <w:rFonts w:ascii="Times New Roman" w:cs="Times New Roman" w:eastAsia="Times New Roman" w:hAnsi="Times New Roman"/>
          <w:sz w:val="22"/>
          <w:szCs w:val="22"/>
        </w:rPr>
        <w:t xml:space="preserve">I am also deeply thankful to the Head of Department and the internal review panel for providing constructive feedback at each capstone review. My sincere thanks go to the Mukesh Patel School of Technology, Management and Engineering (MPSTME), NMIMS, for offering a platform that fosters learning, research, and experimentation.</w:t>
      </w:r>
    </w:p>
    <w:p>
      <w:pPr>
        <w:spacing w:after="120" w:line="360"/>
        <w:jc w:val="both"/>
      </w:pPr>
      <w:r>
        <w:rPr>
          <w:rFonts w:ascii="Times New Roman" w:cs="Times New Roman" w:eastAsia="Times New Roman" w:hAnsi="Times New Roman"/>
          <w:sz w:val="22"/>
          <w:szCs w:val="22"/>
        </w:rPr>
        <w:t xml:space="preserve">I gratefully acknowledge the open-source community — the developers of FastAPI, Next.js, NumPy, SciPy, scikit-learn, XGBoost, arch, Recharts and react-simple-maps — without whose freely-available, permissively-licensed software this project would have been economically infeasible. I thank OpenRouter for providing free-tier inference access to Google's Gemma-3n-E4B-it model, and AISStream for the global AIS data feed. I thank Google DeepMind for releasing the Gemma family under an open licence.</w:t>
      </w:r>
    </w:p>
    <w:p>
      <w:pPr>
        <w:spacing w:after="120" w:line="360"/>
        <w:jc w:val="both"/>
      </w:pPr>
      <w:r>
        <w:rPr>
          <w:rFonts w:ascii="Times New Roman" w:cs="Times New Roman" w:eastAsia="Times New Roman" w:hAnsi="Times New Roman"/>
          <w:sz w:val="22"/>
          <w:szCs w:val="22"/>
        </w:rPr>
        <w:t xml:space="preserve">Finally, I extend my appreciation to all the faculty members and peers who provided feedback, encouragement, and inspiration during every phase of this journey.</w:t>
      </w:r>
    </w:p>
    <w:p>
      <w:pPr>
        <w:spacing w:before="480"/>
        <w:jc w:val="right"/>
      </w:pPr>
      <w:r>
        <w:rPr>
          <w:rFonts w:ascii="Times New Roman" w:cs="Times New Roman" w:eastAsia="Times New Roman" w:hAnsi="Times New Roman"/>
          <w:b/>
          <w:bCs/>
          <w:sz w:val="22"/>
          <w:szCs w:val="22"/>
        </w:rPr>
        <w:t xml:space="preserve">Prathmesh Deshmukh</w:t>
      </w:r>
    </w:p>
    <w:p>
      <w:pPr>
        <w:jc w:val="right"/>
      </w:pPr>
      <w:r>
        <w:rPr>
          <w:rFonts w:ascii="Times New Roman" w:cs="Times New Roman" w:eastAsia="Times New Roman" w:hAnsi="Times New Roman"/>
          <w:i/>
          <w:iCs/>
          <w:sz w:val="22"/>
          <w:szCs w:val="22"/>
        </w:rPr>
        <w:t xml:space="preserve">Roll No.: XXXXXXXX · SAP ID: XXXXXXXXXX</w:t>
      </w:r>
    </w:p>
    <w:p>
      <w:pPr>
        <w:pageBreakBefore/>
        <w:spacing w:after="480" w:before="600"/>
        <w:jc w:val="center"/>
      </w:pPr>
      <w:r>
        <w:rPr>
          <w:rFonts w:ascii="Times New Roman" w:cs="Times New Roman" w:eastAsia="Times New Roman" w:hAnsi="Times New Roman"/>
          <w:b/>
          <w:bCs/>
          <w:sz w:val="40"/>
          <w:szCs w:val="40"/>
        </w:rPr>
        <w:t xml:space="preserve">ABSTRACT</w:t>
      </w:r>
    </w:p>
    <w:p>
      <w:pPr>
        <w:spacing w:after="120" w:line="360"/>
        <w:jc w:val="both"/>
      </w:pPr>
      <w:r>
        <w:rPr>
          <w:rFonts w:ascii="Times New Roman" w:cs="Times New Roman" w:eastAsia="Times New Roman" w:hAnsi="Times New Roman"/>
          <w:i/>
          <w:iCs/>
          <w:sz w:val="22"/>
          <w:szCs w:val="22"/>
        </w:rPr>
        <w:t xml:space="preserve">Institutional-grade quantitative research has historically sat behind per-seat licences costing tens of thousands of dollars per analyst per year. At the same time, the 2023–2026 wave of open-weight large language models and free-tier hosted inference has made it possible for a single developer to build a multi-asset research terminal on commodity hardware for essentially zero marginal cost. This capstone project turns that possibility into a working product.</w:t>
      </w:r>
    </w:p>
    <w:p>
      <w:pPr>
        <w:spacing w:after="120" w:line="360"/>
        <w:jc w:val="both"/>
      </w:pPr>
      <w:r>
        <w:rPr>
          <w:rFonts w:ascii="Times New Roman" w:cs="Times New Roman" w:eastAsia="Times New Roman" w:hAnsi="Times New Roman"/>
          <w:i/>
          <w:iCs/>
          <w:sz w:val="22"/>
          <w:szCs w:val="22"/>
        </w:rPr>
        <w:t xml:space="preserve">This research introduces Hedgyyyboo, an open-source multi-asset quantitative analytics platform that combines seven classical stochastic-calculus pricing engines, a retrieval-augmented LLM narrative layer, a rule-based trade engine with trailing stops and market-hours gating, an XGBoost trade screener trained on ~5,000 historically-backfilled synthetic trades, and a live AISStream marine-traffic research page with a grounded chatbot. The platform is deployed as a FastAPI backend (53+ REST endpoints) and a Next.js 16 front-end with five desks: Main, Fixed Income, FX Macro, Analytics, AI Models and Research.</w:t>
      </w:r>
    </w:p>
    <w:p>
      <w:pPr>
        <w:spacing w:after="120" w:line="360"/>
        <w:jc w:val="both"/>
      </w:pPr>
      <w:r>
        <w:rPr>
          <w:rFonts w:ascii="Times New Roman" w:cs="Times New Roman" w:eastAsia="Times New Roman" w:hAnsi="Times New Roman"/>
          <w:i/>
          <w:iCs/>
          <w:sz w:val="22"/>
          <w:szCs w:val="22"/>
        </w:rPr>
        <w:t xml:space="preserve">The system follows a modular architecture across data acquisition, numeric analytics, LLM narrative generation, trade execution, and persistence. Market feeds are pulled from Yahoo Finance, the U.S. Treasury Daily Yield Curve, Google News RSS, SEC EDGAR, and AISStream's global WebSocket AIS feed. An auto-PM cycle runs every sixty seconds: it consults desk market-hours, picks an unheld candidate from the watchlist, builds a signal packet containing Ornstein–Uhlenbeck mean-reversion parameters, the Hurst exponent, GARCH(1,1) volatility and Value-at-Risk, yield-curve slopes, and momentum statistics, then passes the packet to Google's Gemma-3n-E4B-it via OpenRouter for a structured JSON decision. Trades are written to SQLite, marked-to-market every minute, and closed by stop-loss, take-profit, trailing-stop, or time-stop rules.</w:t>
      </w:r>
    </w:p>
    <w:p>
      <w:pPr>
        <w:spacing w:after="120" w:line="360"/>
        <w:jc w:val="both"/>
      </w:pPr>
      <w:r>
        <w:rPr>
          <w:rFonts w:ascii="Times New Roman" w:cs="Times New Roman" w:eastAsia="Times New Roman" w:hAnsi="Times New Roman"/>
          <w:i/>
          <w:iCs/>
          <w:sz w:val="22"/>
          <w:szCs w:val="22"/>
        </w:rPr>
        <w:t xml:space="preserve">Experimental validation demonstrates the accuracy, responsiveness, and institutional-grade observability of the system. Principal Component Analysis captures 98.7% of yield-curve variance in three factors. The Ornstein–Uhlenbeck maximum-likelihood estimator produces half-life estimates within ±1.4 days at 95% bootstrap confidence. A mean-reversion strategy achieves a back-tested Sharpe ratio of 1.38. GARCH(1,1) passes Kupiec's unconditional-coverage test on 47 of 50 tickers. Every LLM call — prompt, response, latency, tokens, decision — is persisted to a dedicated SQLite table and surfaced through an AI-Models dashboard. The AISStream consumer caches over 15,000 live ship positions in under 60 seconds of runtime.</w:t>
      </w:r>
    </w:p>
    <w:p>
      <w:pPr>
        <w:spacing w:after="120" w:line="360"/>
        <w:jc w:val="both"/>
      </w:pPr>
      <w:r>
        <w:rPr>
          <w:rFonts w:ascii="Times New Roman" w:cs="Times New Roman" w:eastAsia="Times New Roman" w:hAnsi="Times New Roman"/>
          <w:i/>
          <w:iCs/>
          <w:sz w:val="22"/>
          <w:szCs w:val="22"/>
        </w:rPr>
        <w:t xml:space="preserve">The salient contribution is a single, reproducible reference implementation that brings Bloomberg-Terminal-style multi-asset research, LLM narrative generation, rule-based autonomous trading, and marine supply-chain analytics into a single open-source repository deployable on a single commodity laptop. The source code is public at github.com/vedantkasargodya/hedgyyyboo-capstone.</w:t>
      </w:r>
    </w:p>
    <w:p>
      <w:pPr>
        <w:pageBreakBefore/>
        <w:spacing w:after="320" w:before="480" w:line="360"/>
        <w:jc w:val="center"/>
      </w:pPr>
      <w:r>
        <w:rPr>
          <w:rFonts w:ascii="Times New Roman" w:cs="Times New Roman" w:eastAsia="Times New Roman" w:hAnsi="Times New Roman"/>
          <w:b/>
          <w:bCs/>
          <w:sz w:val="34"/>
          <w:szCs w:val="34"/>
        </w:rPr>
        <w:t xml:space="preserve">TABLE OF CONTENTS</w:t>
      </w:r>
    </w:p>
    <w:p>
      <w:pPr>
        <w:tabs>
          <w:tab w:val="right" w:pos="9000" w:leader="dot"/>
        </w:tabs>
        <w:spacing w:after="100" w:line="28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iv</w:t>
      </w:r>
    </w:p>
    <w:p>
      <w:pPr>
        <w:tabs>
          <w:tab w:val="right" w:pos="9000" w:leader="dot"/>
        </w:tabs>
        <w:spacing w:after="100" w:line="28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b/>
          <w:bCs/>
          <w:sz w:val="22"/>
          <w:szCs w:val="22"/>
        </w:rPr>
        <w:t xml:space="preserve">	1</w:t>
      </w:r>
    </w:p>
    <w:p>
      <w:pPr>
        <w:tabs>
          <w:tab w:val="right" w:pos="9000" w:leader="dot"/>
        </w:tabs>
        <w:spacing w:after="100" w:line="280"/>
      </w:pPr>
      <w:r>
        <w:rPr>
          <w:rFonts w:ascii="Times New Roman" w:cs="Times New Roman" w:eastAsia="Times New Roman" w:hAnsi="Times New Roman"/>
          <w:sz w:val="22"/>
          <w:szCs w:val="22"/>
        </w:rPr>
        <w:t xml:space="preserve">1.1 Background Information</w:t>
      </w:r>
      <w:r>
        <w:rPr>
          <w:rFonts w:ascii="Times New Roman" w:cs="Times New Roman" w:eastAsia="Times New Roman" w:hAnsi="Times New Roman"/>
          <w:sz w:val="22"/>
          <w:szCs w:val="22"/>
        </w:rPr>
        <w:t xml:space="preserve">	1</w:t>
      </w:r>
    </w:p>
    <w:p>
      <w:pPr>
        <w:tabs>
          <w:tab w:val="right" w:pos="9000" w:leader="dot"/>
        </w:tabs>
        <w:spacing w:after="100" w:line="280"/>
      </w:pPr>
      <w:r>
        <w:rPr>
          <w:rFonts w:ascii="Times New Roman" w:cs="Times New Roman" w:eastAsia="Times New Roman" w:hAnsi="Times New Roman"/>
          <w:sz w:val="22"/>
          <w:szCs w:val="22"/>
        </w:rPr>
        <w:t xml:space="preserve">1.2 Motivation and Scope of the Report</w:t>
      </w:r>
      <w:r>
        <w:rPr>
          <w:rFonts w:ascii="Times New Roman" w:cs="Times New Roman" w:eastAsia="Times New Roman" w:hAnsi="Times New Roman"/>
          <w:sz w:val="22"/>
          <w:szCs w:val="22"/>
        </w:rPr>
        <w:t xml:space="preserve">	2</w:t>
      </w:r>
    </w:p>
    <w:p>
      <w:pPr>
        <w:tabs>
          <w:tab w:val="right" w:pos="9000" w:leader="dot"/>
        </w:tabs>
        <w:spacing w:after="100" w:line="280"/>
      </w:pPr>
      <w:r>
        <w:rPr>
          <w:rFonts w:ascii="Times New Roman" w:cs="Times New Roman" w:eastAsia="Times New Roman" w:hAnsi="Times New Roman"/>
          <w:sz w:val="22"/>
          <w:szCs w:val="22"/>
        </w:rPr>
        <w:t xml:space="preserve">1.3 Problem Statement</w:t>
      </w:r>
      <w:r>
        <w:rPr>
          <w:rFonts w:ascii="Times New Roman" w:cs="Times New Roman" w:eastAsia="Times New Roman" w:hAnsi="Times New Roman"/>
          <w:sz w:val="22"/>
          <w:szCs w:val="22"/>
        </w:rPr>
        <w:t xml:space="preserve">	3</w:t>
      </w:r>
    </w:p>
    <w:p>
      <w:pPr>
        <w:tabs>
          <w:tab w:val="right" w:pos="9000" w:leader="dot"/>
        </w:tabs>
        <w:spacing w:after="100" w:line="280"/>
      </w:pPr>
      <w:r>
        <w:rPr>
          <w:rFonts w:ascii="Times New Roman" w:cs="Times New Roman" w:eastAsia="Times New Roman" w:hAnsi="Times New Roman"/>
          <w:sz w:val="22"/>
          <w:szCs w:val="22"/>
        </w:rPr>
        <w:t xml:space="preserve">1.4 Salient Contributions</w:t>
      </w:r>
      <w:r>
        <w:rPr>
          <w:rFonts w:ascii="Times New Roman" w:cs="Times New Roman" w:eastAsia="Times New Roman" w:hAnsi="Times New Roman"/>
          <w:sz w:val="22"/>
          <w:szCs w:val="22"/>
        </w:rPr>
        <w:t xml:space="preserve">	4</w:t>
      </w:r>
    </w:p>
    <w:p>
      <w:pPr>
        <w:tabs>
          <w:tab w:val="right" w:pos="9000" w:leader="dot"/>
        </w:tabs>
        <w:spacing w:after="100" w:line="280"/>
      </w:pPr>
      <w:r>
        <w:rPr>
          <w:rFonts w:ascii="Times New Roman" w:cs="Times New Roman" w:eastAsia="Times New Roman" w:hAnsi="Times New Roman"/>
          <w:sz w:val="22"/>
          <w:szCs w:val="22"/>
        </w:rPr>
        <w:t xml:space="preserve">1.5 Organisation of Report</w:t>
      </w:r>
      <w:r>
        <w:rPr>
          <w:rFonts w:ascii="Times New Roman" w:cs="Times New Roman" w:eastAsia="Times New Roman" w:hAnsi="Times New Roman"/>
          <w:sz w:val="22"/>
          <w:szCs w:val="22"/>
        </w:rPr>
        <w:t xml:space="preserve">	5</w:t>
      </w:r>
    </w:p>
    <w:p>
      <w:pPr>
        <w:tabs>
          <w:tab w:val="right" w:pos="9000" w:leader="dot"/>
        </w:tabs>
        <w:spacing w:after="100" w:line="280"/>
      </w:pPr>
      <w:r>
        <w:rPr>
          <w:rFonts w:ascii="Times New Roman" w:cs="Times New Roman" w:eastAsia="Times New Roman" w:hAnsi="Times New Roman"/>
          <w:b/>
          <w:bCs/>
          <w:sz w:val="22"/>
          <w:szCs w:val="22"/>
        </w:rPr>
        <w:t xml:space="preserve">Chapter 2: Literature Review</w:t>
      </w:r>
      <w:r>
        <w:rPr>
          <w:rFonts w:ascii="Times New Roman" w:cs="Times New Roman" w:eastAsia="Times New Roman" w:hAnsi="Times New Roman"/>
          <w:b/>
          <w:bCs/>
          <w:sz w:val="22"/>
          <w:szCs w:val="22"/>
        </w:rPr>
        <w:t xml:space="preserve">	7</w:t>
      </w:r>
    </w:p>
    <w:p>
      <w:pPr>
        <w:tabs>
          <w:tab w:val="right" w:pos="9000" w:leader="dot"/>
        </w:tabs>
        <w:spacing w:after="100" w:line="280"/>
      </w:pPr>
      <w:r>
        <w:rPr>
          <w:rFonts w:ascii="Times New Roman" w:cs="Times New Roman" w:eastAsia="Times New Roman" w:hAnsi="Times New Roman"/>
          <w:sz w:val="22"/>
          <w:szCs w:val="22"/>
        </w:rPr>
        <w:t xml:space="preserve">2.1 Evolution of Quantitative Analytics</w:t>
      </w:r>
      <w:r>
        <w:rPr>
          <w:rFonts w:ascii="Times New Roman" w:cs="Times New Roman" w:eastAsia="Times New Roman" w:hAnsi="Times New Roman"/>
          <w:sz w:val="22"/>
          <w:szCs w:val="22"/>
        </w:rPr>
        <w:t xml:space="preserve">	7</w:t>
      </w:r>
    </w:p>
    <w:p>
      <w:pPr>
        <w:tabs>
          <w:tab w:val="right" w:pos="9000" w:leader="dot"/>
        </w:tabs>
        <w:spacing w:after="100" w:line="280"/>
      </w:pPr>
      <w:r>
        <w:rPr>
          <w:rFonts w:ascii="Times New Roman" w:cs="Times New Roman" w:eastAsia="Times New Roman" w:hAnsi="Times New Roman"/>
          <w:sz w:val="22"/>
          <w:szCs w:val="22"/>
        </w:rPr>
        <w:t xml:space="preserve">2.2 Stochastic Calculus Pricing Models</w:t>
      </w:r>
      <w:r>
        <w:rPr>
          <w:rFonts w:ascii="Times New Roman" w:cs="Times New Roman" w:eastAsia="Times New Roman" w:hAnsi="Times New Roman"/>
          <w:sz w:val="22"/>
          <w:szCs w:val="22"/>
        </w:rPr>
        <w:t xml:space="preserve">	9</w:t>
      </w:r>
    </w:p>
    <w:p>
      <w:pPr>
        <w:tabs>
          <w:tab w:val="right" w:pos="9000" w:leader="dot"/>
        </w:tabs>
        <w:spacing w:after="100" w:line="280"/>
      </w:pPr>
      <w:r>
        <w:rPr>
          <w:rFonts w:ascii="Times New Roman" w:cs="Times New Roman" w:eastAsia="Times New Roman" w:hAnsi="Times New Roman"/>
          <w:sz w:val="22"/>
          <w:szCs w:val="22"/>
        </w:rPr>
        <w:t xml:space="preserve">2.3 Factor Models and Yield-Curve Analysis</w:t>
      </w:r>
      <w:r>
        <w:rPr>
          <w:rFonts w:ascii="Times New Roman" w:cs="Times New Roman" w:eastAsia="Times New Roman" w:hAnsi="Times New Roman"/>
          <w:sz w:val="22"/>
          <w:szCs w:val="22"/>
        </w:rPr>
        <w:t xml:space="preserve">	10</w:t>
      </w:r>
    </w:p>
    <w:p>
      <w:pPr>
        <w:tabs>
          <w:tab w:val="right" w:pos="9000" w:leader="dot"/>
        </w:tabs>
        <w:spacing w:after="100" w:line="280"/>
      </w:pPr>
      <w:r>
        <w:rPr>
          <w:rFonts w:ascii="Times New Roman" w:cs="Times New Roman" w:eastAsia="Times New Roman" w:hAnsi="Times New Roman"/>
          <w:sz w:val="22"/>
          <w:szCs w:val="22"/>
        </w:rPr>
        <w:t xml:space="preserve">2.4 Volatility and Tail-Risk Modelling</w:t>
      </w:r>
      <w:r>
        <w:rPr>
          <w:rFonts w:ascii="Times New Roman" w:cs="Times New Roman" w:eastAsia="Times New Roman" w:hAnsi="Times New Roman"/>
          <w:sz w:val="22"/>
          <w:szCs w:val="22"/>
        </w:rPr>
        <w:t xml:space="preserve">	11</w:t>
      </w:r>
    </w:p>
    <w:p>
      <w:pPr>
        <w:tabs>
          <w:tab w:val="right" w:pos="9000" w:leader="dot"/>
        </w:tabs>
        <w:spacing w:after="100" w:line="280"/>
      </w:pPr>
      <w:r>
        <w:rPr>
          <w:rFonts w:ascii="Times New Roman" w:cs="Times New Roman" w:eastAsia="Times New Roman" w:hAnsi="Times New Roman"/>
          <w:sz w:val="22"/>
          <w:szCs w:val="22"/>
        </w:rPr>
        <w:t xml:space="preserve">2.5 LLMs and Retrieval-Augmented Generation</w:t>
      </w:r>
      <w:r>
        <w:rPr>
          <w:rFonts w:ascii="Times New Roman" w:cs="Times New Roman" w:eastAsia="Times New Roman" w:hAnsi="Times New Roman"/>
          <w:sz w:val="22"/>
          <w:szCs w:val="22"/>
        </w:rPr>
        <w:t xml:space="preserve">	12</w:t>
      </w:r>
    </w:p>
    <w:p>
      <w:pPr>
        <w:tabs>
          <w:tab w:val="right" w:pos="9000" w:leader="dot"/>
        </w:tabs>
        <w:spacing w:after="100" w:line="280"/>
      </w:pPr>
      <w:r>
        <w:rPr>
          <w:rFonts w:ascii="Times New Roman" w:cs="Times New Roman" w:eastAsia="Times New Roman" w:hAnsi="Times New Roman"/>
          <w:sz w:val="22"/>
          <w:szCs w:val="22"/>
        </w:rPr>
        <w:t xml:space="preserve">2.6 Alternative Data and Marine-AIS Analytics</w:t>
      </w:r>
      <w:r>
        <w:rPr>
          <w:rFonts w:ascii="Times New Roman" w:cs="Times New Roman" w:eastAsia="Times New Roman" w:hAnsi="Times New Roman"/>
          <w:sz w:val="22"/>
          <w:szCs w:val="22"/>
        </w:rPr>
        <w:t xml:space="preserve">	13</w:t>
      </w:r>
    </w:p>
    <w:p>
      <w:pPr>
        <w:tabs>
          <w:tab w:val="right" w:pos="9000" w:leader="dot"/>
        </w:tabs>
        <w:spacing w:after="100" w:line="280"/>
      </w:pPr>
      <w:r>
        <w:rPr>
          <w:rFonts w:ascii="Times New Roman" w:cs="Times New Roman" w:eastAsia="Times New Roman" w:hAnsi="Times New Roman"/>
          <w:sz w:val="22"/>
          <w:szCs w:val="22"/>
        </w:rPr>
        <w:t xml:space="preserve">2.7 Machine Learning for Trade Selection</w:t>
      </w:r>
      <w:r>
        <w:rPr>
          <w:rFonts w:ascii="Times New Roman" w:cs="Times New Roman" w:eastAsia="Times New Roman" w:hAnsi="Times New Roman"/>
          <w:sz w:val="22"/>
          <w:szCs w:val="22"/>
        </w:rPr>
        <w:t xml:space="preserve">	14</w:t>
      </w:r>
    </w:p>
    <w:p>
      <w:pPr>
        <w:tabs>
          <w:tab w:val="right" w:pos="9000" w:leader="dot"/>
        </w:tabs>
        <w:spacing w:after="100" w:line="280"/>
      </w:pPr>
      <w:r>
        <w:rPr>
          <w:rFonts w:ascii="Times New Roman" w:cs="Times New Roman" w:eastAsia="Times New Roman" w:hAnsi="Times New Roman"/>
          <w:b/>
          <w:bCs/>
          <w:sz w:val="22"/>
          <w:szCs w:val="22"/>
        </w:rPr>
        <w:t xml:space="preserve">Chapter 3: Methodology and Implementation</w:t>
      </w:r>
      <w:r>
        <w:rPr>
          <w:rFonts w:ascii="Times New Roman" w:cs="Times New Roman" w:eastAsia="Times New Roman" w:hAnsi="Times New Roman"/>
          <w:b/>
          <w:bCs/>
          <w:sz w:val="22"/>
          <w:szCs w:val="22"/>
        </w:rPr>
        <w:t xml:space="preserve">	16</w:t>
      </w:r>
    </w:p>
    <w:p>
      <w:pPr>
        <w:tabs>
          <w:tab w:val="right" w:pos="9000" w:leader="dot"/>
        </w:tabs>
        <w:spacing w:after="100" w:line="280"/>
      </w:pPr>
      <w:r>
        <w:rPr>
          <w:rFonts w:ascii="Times New Roman" w:cs="Times New Roman" w:eastAsia="Times New Roman" w:hAnsi="Times New Roman"/>
          <w:sz w:val="22"/>
          <w:szCs w:val="22"/>
        </w:rPr>
        <w:t xml:space="preserve">3.1 System Architecture and Block Diagram</w:t>
      </w:r>
      <w:r>
        <w:rPr>
          <w:rFonts w:ascii="Times New Roman" w:cs="Times New Roman" w:eastAsia="Times New Roman" w:hAnsi="Times New Roman"/>
          <w:sz w:val="22"/>
          <w:szCs w:val="22"/>
        </w:rPr>
        <w:t xml:space="preserve">	16</w:t>
      </w:r>
    </w:p>
    <w:p>
      <w:pPr>
        <w:tabs>
          <w:tab w:val="right" w:pos="9000" w:leader="dot"/>
        </w:tabs>
        <w:spacing w:after="100" w:line="280"/>
      </w:pPr>
      <w:r>
        <w:rPr>
          <w:rFonts w:ascii="Times New Roman" w:cs="Times New Roman" w:eastAsia="Times New Roman" w:hAnsi="Times New Roman"/>
          <w:sz w:val="22"/>
          <w:szCs w:val="22"/>
        </w:rPr>
        <w:t xml:space="preserve">3.2 Hardware Components and Specifications</w:t>
      </w:r>
      <w:r>
        <w:rPr>
          <w:rFonts w:ascii="Times New Roman" w:cs="Times New Roman" w:eastAsia="Times New Roman" w:hAnsi="Times New Roman"/>
          <w:sz w:val="22"/>
          <w:szCs w:val="22"/>
        </w:rPr>
        <w:t xml:space="preserve">	19</w:t>
      </w:r>
    </w:p>
    <w:p>
      <w:pPr>
        <w:tabs>
          <w:tab w:val="right" w:pos="9000" w:leader="dot"/>
        </w:tabs>
        <w:spacing w:after="100" w:line="280"/>
      </w:pPr>
      <w:r>
        <w:rPr>
          <w:rFonts w:ascii="Times New Roman" w:cs="Times New Roman" w:eastAsia="Times New Roman" w:hAnsi="Times New Roman"/>
          <w:sz w:val="22"/>
          <w:szCs w:val="22"/>
        </w:rPr>
        <w:t xml:space="preserve">3.3 The Seven Numerical Engines</w:t>
      </w:r>
      <w:r>
        <w:rPr>
          <w:rFonts w:ascii="Times New Roman" w:cs="Times New Roman" w:eastAsia="Times New Roman" w:hAnsi="Times New Roman"/>
          <w:sz w:val="22"/>
          <w:szCs w:val="22"/>
        </w:rPr>
        <w:t xml:space="preserve">	20</w:t>
      </w:r>
    </w:p>
    <w:p>
      <w:pPr>
        <w:tabs>
          <w:tab w:val="right" w:pos="9000" w:leader="dot"/>
        </w:tabs>
        <w:spacing w:after="100" w:line="280"/>
      </w:pPr>
      <w:r>
        <w:rPr>
          <w:rFonts w:ascii="Times New Roman" w:cs="Times New Roman" w:eastAsia="Times New Roman" w:hAnsi="Times New Roman"/>
          <w:sz w:val="22"/>
          <w:szCs w:val="22"/>
        </w:rPr>
        <w:t xml:space="preserve">3.4 Autonomous Trade Engine</w:t>
      </w:r>
      <w:r>
        <w:rPr>
          <w:rFonts w:ascii="Times New Roman" w:cs="Times New Roman" w:eastAsia="Times New Roman" w:hAnsi="Times New Roman"/>
          <w:sz w:val="22"/>
          <w:szCs w:val="22"/>
        </w:rPr>
        <w:t xml:space="preserve">	23</w:t>
      </w:r>
    </w:p>
    <w:p>
      <w:pPr>
        <w:tabs>
          <w:tab w:val="right" w:pos="9000" w:leader="dot"/>
        </w:tabs>
        <w:spacing w:after="100" w:line="280"/>
      </w:pPr>
      <w:r>
        <w:rPr>
          <w:rFonts w:ascii="Times New Roman" w:cs="Times New Roman" w:eastAsia="Times New Roman" w:hAnsi="Times New Roman"/>
          <w:sz w:val="22"/>
          <w:szCs w:val="22"/>
        </w:rPr>
        <w:t xml:space="preserve">3.5 ML Screener and Historical Backfill</w:t>
      </w:r>
      <w:r>
        <w:rPr>
          <w:rFonts w:ascii="Times New Roman" w:cs="Times New Roman" w:eastAsia="Times New Roman" w:hAnsi="Times New Roman"/>
          <w:sz w:val="22"/>
          <w:szCs w:val="22"/>
        </w:rPr>
        <w:t xml:space="preserve">	26</w:t>
      </w:r>
    </w:p>
    <w:p>
      <w:pPr>
        <w:tabs>
          <w:tab w:val="right" w:pos="9000" w:leader="dot"/>
        </w:tabs>
        <w:spacing w:after="100" w:line="280"/>
      </w:pPr>
      <w:r>
        <w:rPr>
          <w:rFonts w:ascii="Times New Roman" w:cs="Times New Roman" w:eastAsia="Times New Roman" w:hAnsi="Times New Roman"/>
          <w:sz w:val="22"/>
          <w:szCs w:val="22"/>
        </w:rPr>
        <w:t xml:space="preserve">3.6 LLM Integration and Persistent Call Log</w:t>
      </w:r>
      <w:r>
        <w:rPr>
          <w:rFonts w:ascii="Times New Roman" w:cs="Times New Roman" w:eastAsia="Times New Roman" w:hAnsi="Times New Roman"/>
          <w:sz w:val="22"/>
          <w:szCs w:val="22"/>
        </w:rPr>
        <w:t xml:space="preserve">	28</w:t>
      </w:r>
    </w:p>
    <w:p>
      <w:pPr>
        <w:tabs>
          <w:tab w:val="right" w:pos="9000" w:leader="dot"/>
        </w:tabs>
        <w:spacing w:after="100" w:line="280"/>
      </w:pPr>
      <w:r>
        <w:rPr>
          <w:rFonts w:ascii="Times New Roman" w:cs="Times New Roman" w:eastAsia="Times New Roman" w:hAnsi="Times New Roman"/>
          <w:sz w:val="22"/>
          <w:szCs w:val="22"/>
        </w:rPr>
        <w:t xml:space="preserve">3.7 AISStream Marine Consumer</w:t>
      </w:r>
      <w:r>
        <w:rPr>
          <w:rFonts w:ascii="Times New Roman" w:cs="Times New Roman" w:eastAsia="Times New Roman" w:hAnsi="Times New Roman"/>
          <w:sz w:val="22"/>
          <w:szCs w:val="22"/>
        </w:rPr>
        <w:t xml:space="preserve">	30</w:t>
      </w:r>
    </w:p>
    <w:p>
      <w:pPr>
        <w:tabs>
          <w:tab w:val="right" w:pos="9000" w:leader="dot"/>
        </w:tabs>
        <w:spacing w:after="100" w:line="280"/>
      </w:pPr>
      <w:r>
        <w:rPr>
          <w:rFonts w:ascii="Times New Roman" w:cs="Times New Roman" w:eastAsia="Times New Roman" w:hAnsi="Times New Roman"/>
          <w:sz w:val="22"/>
          <w:szCs w:val="22"/>
        </w:rPr>
        <w:t xml:space="preserve">3.8 Presentation Layer — Five Desks</w:t>
      </w:r>
      <w:r>
        <w:rPr>
          <w:rFonts w:ascii="Times New Roman" w:cs="Times New Roman" w:eastAsia="Times New Roman" w:hAnsi="Times New Roman"/>
          <w:sz w:val="22"/>
          <w:szCs w:val="22"/>
        </w:rPr>
        <w:t xml:space="preserve">	31</w:t>
      </w:r>
    </w:p>
    <w:p>
      <w:pPr>
        <w:tabs>
          <w:tab w:val="right" w:pos="9000" w:leader="dot"/>
        </w:tabs>
        <w:spacing w:after="100" w:line="280"/>
      </w:pPr>
      <w:r>
        <w:rPr>
          <w:rFonts w:ascii="Times New Roman" w:cs="Times New Roman" w:eastAsia="Times New Roman" w:hAnsi="Times New Roman"/>
          <w:b/>
          <w:bCs/>
          <w:sz w:val="22"/>
          <w:szCs w:val="22"/>
        </w:rPr>
        <w:t xml:space="preserve">Chapter 4: Results and Analysis</w:t>
      </w:r>
      <w:r>
        <w:rPr>
          <w:rFonts w:ascii="Times New Roman" w:cs="Times New Roman" w:eastAsia="Times New Roman" w:hAnsi="Times New Roman"/>
          <w:b/>
          <w:bCs/>
          <w:sz w:val="22"/>
          <w:szCs w:val="22"/>
        </w:rPr>
        <w:t xml:space="preserve">	34</w:t>
      </w:r>
    </w:p>
    <w:p>
      <w:pPr>
        <w:tabs>
          <w:tab w:val="right" w:pos="9000" w:leader="dot"/>
        </w:tabs>
        <w:spacing w:after="100" w:line="280"/>
      </w:pPr>
      <w:r>
        <w:rPr>
          <w:rFonts w:ascii="Times New Roman" w:cs="Times New Roman" w:eastAsia="Times New Roman" w:hAnsi="Times New Roman"/>
          <w:sz w:val="22"/>
          <w:szCs w:val="22"/>
        </w:rPr>
        <w:t xml:space="preserve">4.1 PCA Yield-Curve Decomposition</w:t>
      </w:r>
      <w:r>
        <w:rPr>
          <w:rFonts w:ascii="Times New Roman" w:cs="Times New Roman" w:eastAsia="Times New Roman" w:hAnsi="Times New Roman"/>
          <w:sz w:val="22"/>
          <w:szCs w:val="22"/>
        </w:rPr>
        <w:t xml:space="preserve">	34</w:t>
      </w:r>
    </w:p>
    <w:p>
      <w:pPr>
        <w:tabs>
          <w:tab w:val="right" w:pos="9000" w:leader="dot"/>
        </w:tabs>
        <w:spacing w:after="100" w:line="280"/>
      </w:pPr>
      <w:r>
        <w:rPr>
          <w:rFonts w:ascii="Times New Roman" w:cs="Times New Roman" w:eastAsia="Times New Roman" w:hAnsi="Times New Roman"/>
          <w:sz w:val="22"/>
          <w:szCs w:val="22"/>
        </w:rPr>
        <w:t xml:space="preserve">4.2 OU Mean-Reversion Diagnostics</w:t>
      </w:r>
      <w:r>
        <w:rPr>
          <w:rFonts w:ascii="Times New Roman" w:cs="Times New Roman" w:eastAsia="Times New Roman" w:hAnsi="Times New Roman"/>
          <w:sz w:val="22"/>
          <w:szCs w:val="22"/>
        </w:rPr>
        <w:t xml:space="preserve">	35</w:t>
      </w:r>
    </w:p>
    <w:p>
      <w:pPr>
        <w:tabs>
          <w:tab w:val="right" w:pos="9000" w:leader="dot"/>
        </w:tabs>
        <w:spacing w:after="100" w:line="280"/>
      </w:pPr>
      <w:r>
        <w:rPr>
          <w:rFonts w:ascii="Times New Roman" w:cs="Times New Roman" w:eastAsia="Times New Roman" w:hAnsi="Times New Roman"/>
          <w:sz w:val="22"/>
          <w:szCs w:val="22"/>
        </w:rPr>
        <w:t xml:space="preserve">4.3 Backtest of OU Mean-Reversion Strategy</w:t>
      </w:r>
      <w:r>
        <w:rPr>
          <w:rFonts w:ascii="Times New Roman" w:cs="Times New Roman" w:eastAsia="Times New Roman" w:hAnsi="Times New Roman"/>
          <w:sz w:val="22"/>
          <w:szCs w:val="22"/>
        </w:rPr>
        <w:t xml:space="preserve">	36</w:t>
      </w:r>
    </w:p>
    <w:p>
      <w:pPr>
        <w:tabs>
          <w:tab w:val="right" w:pos="9000" w:leader="dot"/>
        </w:tabs>
        <w:spacing w:after="100" w:line="280"/>
      </w:pPr>
      <w:r>
        <w:rPr>
          <w:rFonts w:ascii="Times New Roman" w:cs="Times New Roman" w:eastAsia="Times New Roman" w:hAnsi="Times New Roman"/>
          <w:sz w:val="22"/>
          <w:szCs w:val="22"/>
        </w:rPr>
        <w:t xml:space="preserve">4.4 GARCH Tail-Risk Calibration</w:t>
      </w:r>
      <w:r>
        <w:rPr>
          <w:rFonts w:ascii="Times New Roman" w:cs="Times New Roman" w:eastAsia="Times New Roman" w:hAnsi="Times New Roman"/>
          <w:sz w:val="22"/>
          <w:szCs w:val="22"/>
        </w:rPr>
        <w:t xml:space="preserve">	37</w:t>
      </w:r>
    </w:p>
    <w:p>
      <w:pPr>
        <w:tabs>
          <w:tab w:val="right" w:pos="9000" w:leader="dot"/>
        </w:tabs>
        <w:spacing w:after="100" w:line="280"/>
      </w:pPr>
      <w:r>
        <w:rPr>
          <w:rFonts w:ascii="Times New Roman" w:cs="Times New Roman" w:eastAsia="Times New Roman" w:hAnsi="Times New Roman"/>
          <w:sz w:val="22"/>
          <w:szCs w:val="22"/>
        </w:rPr>
        <w:t xml:space="preserve">4.5 LLM Latency, Grounding and Decision Quality</w:t>
      </w:r>
      <w:r>
        <w:rPr>
          <w:rFonts w:ascii="Times New Roman" w:cs="Times New Roman" w:eastAsia="Times New Roman" w:hAnsi="Times New Roman"/>
          <w:sz w:val="22"/>
          <w:szCs w:val="22"/>
        </w:rPr>
        <w:t xml:space="preserve">	38</w:t>
      </w:r>
    </w:p>
    <w:p>
      <w:pPr>
        <w:tabs>
          <w:tab w:val="right" w:pos="9000" w:leader="dot"/>
        </w:tabs>
        <w:spacing w:after="100" w:line="280"/>
      </w:pPr>
      <w:r>
        <w:rPr>
          <w:rFonts w:ascii="Times New Roman" w:cs="Times New Roman" w:eastAsia="Times New Roman" w:hAnsi="Times New Roman"/>
          <w:sz w:val="22"/>
          <w:szCs w:val="22"/>
        </w:rPr>
        <w:t xml:space="preserve">4.6 ML Screener Training Metrics</w:t>
      </w:r>
      <w:r>
        <w:rPr>
          <w:rFonts w:ascii="Times New Roman" w:cs="Times New Roman" w:eastAsia="Times New Roman" w:hAnsi="Times New Roman"/>
          <w:sz w:val="22"/>
          <w:szCs w:val="22"/>
        </w:rPr>
        <w:t xml:space="preserve">	39</w:t>
      </w:r>
    </w:p>
    <w:p>
      <w:pPr>
        <w:tabs>
          <w:tab w:val="right" w:pos="9000" w:leader="dot"/>
        </w:tabs>
        <w:spacing w:after="100" w:line="280"/>
      </w:pPr>
      <w:r>
        <w:rPr>
          <w:rFonts w:ascii="Times New Roman" w:cs="Times New Roman" w:eastAsia="Times New Roman" w:hAnsi="Times New Roman"/>
          <w:sz w:val="22"/>
          <w:szCs w:val="22"/>
        </w:rPr>
        <w:t xml:space="preserve">4.7 AIS Throughput and Chokepoint Coverage</w:t>
      </w:r>
      <w:r>
        <w:rPr>
          <w:rFonts w:ascii="Times New Roman" w:cs="Times New Roman" w:eastAsia="Times New Roman" w:hAnsi="Times New Roman"/>
          <w:sz w:val="22"/>
          <w:szCs w:val="22"/>
        </w:rPr>
        <w:t xml:space="preserve">	40</w:t>
      </w:r>
    </w:p>
    <w:p>
      <w:pPr>
        <w:tabs>
          <w:tab w:val="right" w:pos="9000" w:leader="dot"/>
        </w:tabs>
        <w:spacing w:after="100" w:line="280"/>
      </w:pPr>
      <w:r>
        <w:rPr>
          <w:rFonts w:ascii="Times New Roman" w:cs="Times New Roman" w:eastAsia="Times New Roman" w:hAnsi="Times New Roman"/>
          <w:sz w:val="22"/>
          <w:szCs w:val="22"/>
        </w:rPr>
        <w:t xml:space="preserve">4.8 Cross-Desk End-to-End Latency</w:t>
      </w:r>
      <w:r>
        <w:rPr>
          <w:rFonts w:ascii="Times New Roman" w:cs="Times New Roman" w:eastAsia="Times New Roman" w:hAnsi="Times New Roman"/>
          <w:sz w:val="22"/>
          <w:szCs w:val="22"/>
        </w:rPr>
        <w:t xml:space="preserve">	41</w:t>
      </w:r>
    </w:p>
    <w:p>
      <w:pPr>
        <w:tabs>
          <w:tab w:val="right" w:pos="9000" w:leader="dot"/>
        </w:tabs>
        <w:spacing w:after="100" w:line="280"/>
      </w:pPr>
      <w:r>
        <w:rPr>
          <w:rFonts w:ascii="Times New Roman" w:cs="Times New Roman" w:eastAsia="Times New Roman" w:hAnsi="Times New Roman"/>
          <w:b/>
          <w:bCs/>
          <w:sz w:val="22"/>
          <w:szCs w:val="22"/>
        </w:rPr>
        <w:t xml:space="preserve">Chapter 5: Advantages, Limitations and Applications</w:t>
      </w:r>
      <w:r>
        <w:rPr>
          <w:rFonts w:ascii="Times New Roman" w:cs="Times New Roman" w:eastAsia="Times New Roman" w:hAnsi="Times New Roman"/>
          <w:b/>
          <w:bCs/>
          <w:sz w:val="22"/>
          <w:szCs w:val="22"/>
        </w:rPr>
        <w:t xml:space="preserve">	42</w:t>
      </w:r>
    </w:p>
    <w:p>
      <w:pPr>
        <w:tabs>
          <w:tab w:val="right" w:pos="9000" w:leader="dot"/>
        </w:tabs>
        <w:spacing w:after="100" w:line="280"/>
      </w:pPr>
      <w:r>
        <w:rPr>
          <w:rFonts w:ascii="Times New Roman" w:cs="Times New Roman" w:eastAsia="Times New Roman" w:hAnsi="Times New Roman"/>
          <w:sz w:val="22"/>
          <w:szCs w:val="22"/>
        </w:rPr>
        <w:t xml:space="preserve">5.1 Key Advantages of the System</w:t>
      </w:r>
      <w:r>
        <w:rPr>
          <w:rFonts w:ascii="Times New Roman" w:cs="Times New Roman" w:eastAsia="Times New Roman" w:hAnsi="Times New Roman"/>
          <w:sz w:val="22"/>
          <w:szCs w:val="22"/>
        </w:rPr>
        <w:t xml:space="preserve">	42</w:t>
      </w:r>
    </w:p>
    <w:p>
      <w:pPr>
        <w:tabs>
          <w:tab w:val="right" w:pos="9000" w:leader="dot"/>
        </w:tabs>
        <w:spacing w:after="100" w:line="280"/>
      </w:pPr>
      <w:r>
        <w:rPr>
          <w:rFonts w:ascii="Times New Roman" w:cs="Times New Roman" w:eastAsia="Times New Roman" w:hAnsi="Times New Roman"/>
          <w:sz w:val="22"/>
          <w:szCs w:val="22"/>
        </w:rPr>
        <w:t xml:space="preserve">5.2 Current Limitations</w:t>
      </w:r>
      <w:r>
        <w:rPr>
          <w:rFonts w:ascii="Times New Roman" w:cs="Times New Roman" w:eastAsia="Times New Roman" w:hAnsi="Times New Roman"/>
          <w:sz w:val="22"/>
          <w:szCs w:val="22"/>
        </w:rPr>
        <w:t xml:space="preserve">	44</w:t>
      </w:r>
    </w:p>
    <w:p>
      <w:pPr>
        <w:tabs>
          <w:tab w:val="right" w:pos="9000" w:leader="dot"/>
        </w:tabs>
        <w:spacing w:after="100" w:line="280"/>
      </w:pPr>
      <w:r>
        <w:rPr>
          <w:rFonts w:ascii="Times New Roman" w:cs="Times New Roman" w:eastAsia="Times New Roman" w:hAnsi="Times New Roman"/>
          <w:sz w:val="22"/>
          <w:szCs w:val="22"/>
        </w:rPr>
        <w:t xml:space="preserve">5.3 Practical Applications</w:t>
      </w:r>
      <w:r>
        <w:rPr>
          <w:rFonts w:ascii="Times New Roman" w:cs="Times New Roman" w:eastAsia="Times New Roman" w:hAnsi="Times New Roman"/>
          <w:sz w:val="22"/>
          <w:szCs w:val="22"/>
        </w:rPr>
        <w:t xml:space="preserve">	45</w:t>
      </w:r>
    </w:p>
    <w:p>
      <w:pPr>
        <w:tabs>
          <w:tab w:val="right" w:pos="9000" w:leader="dot"/>
        </w:tabs>
        <w:spacing w:after="100" w:line="280"/>
      </w:pPr>
      <w:r>
        <w:rPr>
          <w:rFonts w:ascii="Times New Roman" w:cs="Times New Roman" w:eastAsia="Times New Roman" w:hAnsi="Times New Roman"/>
          <w:sz w:val="22"/>
          <w:szCs w:val="22"/>
        </w:rPr>
        <w:t xml:space="preserve">5.4 Future Development Directions</w:t>
      </w:r>
      <w:r>
        <w:rPr>
          <w:rFonts w:ascii="Times New Roman" w:cs="Times New Roman" w:eastAsia="Times New Roman" w:hAnsi="Times New Roman"/>
          <w:sz w:val="22"/>
          <w:szCs w:val="22"/>
        </w:rPr>
        <w:t xml:space="preserve">	46</w:t>
      </w:r>
    </w:p>
    <w:p>
      <w:pPr>
        <w:tabs>
          <w:tab w:val="right" w:pos="9000" w:leader="dot"/>
        </w:tabs>
        <w:spacing w:after="100" w:line="280"/>
      </w:pPr>
      <w:r>
        <w:rPr>
          <w:rFonts w:ascii="Times New Roman" w:cs="Times New Roman" w:eastAsia="Times New Roman" w:hAnsi="Times New Roman"/>
          <w:b/>
          <w:bCs/>
          <w:sz w:val="22"/>
          <w:szCs w:val="22"/>
        </w:rPr>
        <w:t xml:space="preserve">Chapter 6: Conclusion</w:t>
      </w:r>
      <w:r>
        <w:rPr>
          <w:rFonts w:ascii="Times New Roman" w:cs="Times New Roman" w:eastAsia="Times New Roman" w:hAnsi="Times New Roman"/>
          <w:b/>
          <w:bCs/>
          <w:sz w:val="22"/>
          <w:szCs w:val="22"/>
        </w:rPr>
        <w:t xml:space="preserve">	48</w:t>
      </w:r>
    </w:p>
    <w:p>
      <w:pPr>
        <w:tabs>
          <w:tab w:val="right" w:pos="9000" w:leader="dot"/>
        </w:tabs>
        <w:spacing w:after="100" w:line="280"/>
      </w:pPr>
      <w:r>
        <w:rPr>
          <w:rFonts w:ascii="Times New Roman" w:cs="Times New Roman" w:eastAsia="Times New Roman" w:hAnsi="Times New Roman"/>
          <w:sz w:val="22"/>
          <w:szCs w:val="22"/>
        </w:rPr>
        <w:t xml:space="preserve">6.1 Summary of Key Findings</w:t>
      </w:r>
      <w:r>
        <w:rPr>
          <w:rFonts w:ascii="Times New Roman" w:cs="Times New Roman" w:eastAsia="Times New Roman" w:hAnsi="Times New Roman"/>
          <w:sz w:val="22"/>
          <w:szCs w:val="22"/>
        </w:rPr>
        <w:t xml:space="preserve">	48</w:t>
      </w:r>
    </w:p>
    <w:p>
      <w:pPr>
        <w:tabs>
          <w:tab w:val="right" w:pos="9000" w:leader="dot"/>
        </w:tabs>
        <w:spacing w:after="100" w:line="280"/>
      </w:pPr>
      <w:r>
        <w:rPr>
          <w:rFonts w:ascii="Times New Roman" w:cs="Times New Roman" w:eastAsia="Times New Roman" w:hAnsi="Times New Roman"/>
          <w:sz w:val="22"/>
          <w:szCs w:val="22"/>
        </w:rPr>
        <w:t xml:space="preserve">6.2 Contributions to the Field</w:t>
      </w:r>
      <w:r>
        <w:rPr>
          <w:rFonts w:ascii="Times New Roman" w:cs="Times New Roman" w:eastAsia="Times New Roman" w:hAnsi="Times New Roman"/>
          <w:sz w:val="22"/>
          <w:szCs w:val="22"/>
        </w:rPr>
        <w:t xml:space="preserve">	49</w:t>
      </w:r>
    </w:p>
    <w:p>
      <w:pPr>
        <w:tabs>
          <w:tab w:val="right" w:pos="9000" w:leader="dot"/>
        </w:tabs>
        <w:spacing w:after="100" w:line="280"/>
      </w:pPr>
      <w:r>
        <w:rPr>
          <w:rFonts w:ascii="Times New Roman" w:cs="Times New Roman" w:eastAsia="Times New Roman" w:hAnsi="Times New Roman"/>
          <w:sz w:val="22"/>
          <w:szCs w:val="22"/>
        </w:rPr>
        <w:t xml:space="preserve">6.3 Addressing the Research Problem</w:t>
      </w:r>
      <w:r>
        <w:rPr>
          <w:rFonts w:ascii="Times New Roman" w:cs="Times New Roman" w:eastAsia="Times New Roman" w:hAnsi="Times New Roman"/>
          <w:sz w:val="22"/>
          <w:szCs w:val="22"/>
        </w:rPr>
        <w:t xml:space="preserve">	50</w:t>
      </w:r>
    </w:p>
    <w:p>
      <w:pPr>
        <w:tabs>
          <w:tab w:val="right" w:pos="9000" w:leader="dot"/>
        </w:tabs>
        <w:spacing w:after="100" w:line="280"/>
      </w:pPr>
      <w:r>
        <w:rPr>
          <w:rFonts w:ascii="Times New Roman" w:cs="Times New Roman" w:eastAsia="Times New Roman" w:hAnsi="Times New Roman"/>
          <w:sz w:val="22"/>
          <w:szCs w:val="22"/>
        </w:rPr>
        <w:t xml:space="preserve">6.4 Practical Impact and Real-World Value</w:t>
      </w:r>
      <w:r>
        <w:rPr>
          <w:rFonts w:ascii="Times New Roman" w:cs="Times New Roman" w:eastAsia="Times New Roman" w:hAnsi="Times New Roman"/>
          <w:sz w:val="22"/>
          <w:szCs w:val="22"/>
        </w:rPr>
        <w:t xml:space="preserve">	50</w:t>
      </w:r>
    </w:p>
    <w:p>
      <w:pPr>
        <w:tabs>
          <w:tab w:val="right" w:pos="9000" w:leader="dot"/>
        </w:tabs>
        <w:spacing w:after="100" w:line="280"/>
      </w:pPr>
      <w:r>
        <w:rPr>
          <w:rFonts w:ascii="Times New Roman" w:cs="Times New Roman" w:eastAsia="Times New Roman" w:hAnsi="Times New Roman"/>
          <w:sz w:val="22"/>
          <w:szCs w:val="22"/>
        </w:rPr>
        <w:t xml:space="preserve">6.5 Limitations and Future Directions</w:t>
      </w:r>
      <w:r>
        <w:rPr>
          <w:rFonts w:ascii="Times New Roman" w:cs="Times New Roman" w:eastAsia="Times New Roman" w:hAnsi="Times New Roman"/>
          <w:sz w:val="22"/>
          <w:szCs w:val="22"/>
        </w:rPr>
        <w:t xml:space="preserve">	51</w:t>
      </w:r>
    </w:p>
    <w:p>
      <w:pPr>
        <w:tabs>
          <w:tab w:val="right" w:pos="9000" w:leader="dot"/>
        </w:tabs>
        <w:spacing w:after="100" w:line="280"/>
      </w:pPr>
      <w:r>
        <w:rPr>
          <w:rFonts w:ascii="Times New Roman" w:cs="Times New Roman" w:eastAsia="Times New Roman" w:hAnsi="Times New Roman"/>
          <w:sz w:val="22"/>
          <w:szCs w:val="22"/>
        </w:rPr>
        <w:t xml:space="preserve">6.6 Broader Implications</w:t>
      </w:r>
      <w:r>
        <w:rPr>
          <w:rFonts w:ascii="Times New Roman" w:cs="Times New Roman" w:eastAsia="Times New Roman" w:hAnsi="Times New Roman"/>
          <w:sz w:val="22"/>
          <w:szCs w:val="22"/>
        </w:rPr>
        <w:t xml:space="preserve">	51</w:t>
      </w:r>
    </w:p>
    <w:p>
      <w:pPr>
        <w:tabs>
          <w:tab w:val="right" w:pos="9000" w:leader="dot"/>
        </w:tabs>
        <w:spacing w:after="100" w:line="280"/>
      </w:pPr>
      <w:r>
        <w:rPr>
          <w:rFonts w:ascii="Times New Roman" w:cs="Times New Roman" w:eastAsia="Times New Roman" w:hAnsi="Times New Roman"/>
          <w:sz w:val="22"/>
          <w:szCs w:val="22"/>
        </w:rPr>
        <w:t xml:space="preserve">6.7 Final Thoughts</w:t>
      </w:r>
      <w:r>
        <w:rPr>
          <w:rFonts w:ascii="Times New Roman" w:cs="Times New Roman" w:eastAsia="Times New Roman" w:hAnsi="Times New Roman"/>
          <w:sz w:val="22"/>
          <w:szCs w:val="22"/>
        </w:rPr>
        <w:t xml:space="preserve">	52</w:t>
      </w:r>
    </w:p>
    <w:p>
      <w:pPr>
        <w:tabs>
          <w:tab w:val="right" w:pos="9000" w:leader="dot"/>
        </w:tabs>
        <w:spacing w:after="100" w:line="28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b/>
          <w:bCs/>
          <w:sz w:val="22"/>
          <w:szCs w:val="22"/>
        </w:rPr>
        <w:t xml:space="preserve">	54</w:t>
      </w:r>
    </w:p>
    <w:p>
      <w:pPr>
        <w:tabs>
          <w:tab w:val="right" w:pos="9000" w:leader="dot"/>
        </w:tabs>
        <w:spacing w:after="100" w:line="280"/>
      </w:pPr>
      <w:r>
        <w:rPr>
          <w:rFonts w:ascii="Times New Roman" w:cs="Times New Roman" w:eastAsia="Times New Roman" w:hAnsi="Times New Roman"/>
          <w:b/>
          <w:bCs/>
          <w:sz w:val="22"/>
          <w:szCs w:val="22"/>
        </w:rPr>
        <w:t xml:space="preserve">APPENDICES</w:t>
      </w:r>
      <w:r>
        <w:rPr>
          <w:rFonts w:ascii="Times New Roman" w:cs="Times New Roman" w:eastAsia="Times New Roman" w:hAnsi="Times New Roman"/>
          <w:b/>
          <w:bCs/>
          <w:sz w:val="22"/>
          <w:szCs w:val="22"/>
        </w:rPr>
        <w:t xml:space="preserve">	55</w:t>
      </w:r>
    </w:p>
    <w:p>
      <w:pPr>
        <w:tabs>
          <w:tab w:val="right" w:pos="9000" w:leader="dot"/>
        </w:tabs>
        <w:spacing w:after="100" w:line="280"/>
      </w:pPr>
      <w:r>
        <w:rPr>
          <w:rFonts w:ascii="Times New Roman" w:cs="Times New Roman" w:eastAsia="Times New Roman" w:hAnsi="Times New Roman"/>
          <w:sz w:val="22"/>
          <w:szCs w:val="22"/>
        </w:rPr>
        <w:t xml:space="preserve">Appendix A: Source Code and Flowcharts</w:t>
      </w:r>
      <w:r>
        <w:rPr>
          <w:rFonts w:ascii="Times New Roman" w:cs="Times New Roman" w:eastAsia="Times New Roman" w:hAnsi="Times New Roman"/>
          <w:sz w:val="22"/>
          <w:szCs w:val="22"/>
        </w:rPr>
        <w:t xml:space="preserve">	55</w:t>
      </w:r>
    </w:p>
    <w:p>
      <w:pPr>
        <w:tabs>
          <w:tab w:val="right" w:pos="9000" w:leader="dot"/>
        </w:tabs>
        <w:spacing w:after="100" w:line="280"/>
      </w:pPr>
      <w:r>
        <w:rPr>
          <w:rFonts w:ascii="Times New Roman" w:cs="Times New Roman" w:eastAsia="Times New Roman" w:hAnsi="Times New Roman"/>
          <w:sz w:val="22"/>
          <w:szCs w:val="22"/>
        </w:rPr>
        <w:t xml:space="preserve">Appendix B: Dataset Information</w:t>
      </w:r>
      <w:r>
        <w:rPr>
          <w:rFonts w:ascii="Times New Roman" w:cs="Times New Roman" w:eastAsia="Times New Roman" w:hAnsi="Times New Roman"/>
          <w:sz w:val="22"/>
          <w:szCs w:val="22"/>
        </w:rPr>
        <w:t xml:space="preserve">	56</w:t>
      </w:r>
    </w:p>
    <w:p>
      <w:pPr>
        <w:tabs>
          <w:tab w:val="right" w:pos="9000" w:leader="dot"/>
        </w:tabs>
        <w:spacing w:after="100" w:line="280"/>
      </w:pPr>
      <w:r>
        <w:rPr>
          <w:rFonts w:ascii="Times New Roman" w:cs="Times New Roman" w:eastAsia="Times New Roman" w:hAnsi="Times New Roman"/>
          <w:sz w:val="22"/>
          <w:szCs w:val="22"/>
        </w:rPr>
        <w:t xml:space="preserve">Appendix C: List of Components</w:t>
      </w:r>
      <w:r>
        <w:rPr>
          <w:rFonts w:ascii="Times New Roman" w:cs="Times New Roman" w:eastAsia="Times New Roman" w:hAnsi="Times New Roman"/>
          <w:sz w:val="22"/>
          <w:szCs w:val="22"/>
        </w:rPr>
        <w:t xml:space="preserve">	57</w:t>
      </w:r>
    </w:p>
    <w:p>
      <w:pPr>
        <w:tabs>
          <w:tab w:val="right" w:pos="9000" w:leader="dot"/>
        </w:tabs>
        <w:spacing w:after="100" w:line="280"/>
      </w:pPr>
      <w:r>
        <w:rPr>
          <w:rFonts w:ascii="Times New Roman" w:cs="Times New Roman" w:eastAsia="Times New Roman" w:hAnsi="Times New Roman"/>
          <w:sz w:val="22"/>
          <w:szCs w:val="22"/>
        </w:rPr>
        <w:t xml:space="preserve">Appendix D: List of Papers Presented and Published</w:t>
      </w:r>
      <w:r>
        <w:rPr>
          <w:rFonts w:ascii="Times New Roman" w:cs="Times New Roman" w:eastAsia="Times New Roman" w:hAnsi="Times New Roman"/>
          <w:sz w:val="22"/>
          <w:szCs w:val="22"/>
        </w:rPr>
        <w:t xml:space="preserve">	58</w:t>
      </w:r>
    </w:p>
    <w:p>
      <w:pPr>
        <w:spacing w:after="60" w:before="240"/>
      </w:pPr>
      <w:r>
        <w:rPr>
          <w:rFonts w:ascii="Times New Roman" w:cs="Times New Roman" w:eastAsia="Times New Roman" w:hAnsi="Times New Roman"/>
          <w:b/>
          <w:bCs/>
          <w:sz w:val="22"/>
          <w:szCs w:val="22"/>
        </w:rPr>
        <w:t xml:space="preserve">List of Figures</w:t>
      </w:r>
    </w:p>
    <w:p>
      <w:pPr>
        <w:tabs>
          <w:tab w:val="right" w:pos="9000" w:leader="dot"/>
        </w:tabs>
        <w:spacing w:after="60" w:line="260"/>
      </w:pPr>
      <w:r>
        <w:rPr>
          <w:rFonts w:ascii="Times New Roman" w:cs="Times New Roman" w:eastAsia="Times New Roman" w:hAnsi="Times New Roman"/>
          <w:sz w:val="21"/>
          <w:szCs w:val="21"/>
        </w:rPr>
        <w:t xml:space="preserve">Fig. 1  Hedgyyyboo three-tier system architecture</w:t>
      </w:r>
      <w:r>
        <w:rPr>
          <w:rFonts w:ascii="Times New Roman" w:cs="Times New Roman" w:eastAsia="Times New Roman" w:hAnsi="Times New Roman"/>
          <w:sz w:val="21"/>
          <w:szCs w:val="21"/>
        </w:rPr>
        <w:t xml:space="preserve">	16</w:t>
      </w:r>
    </w:p>
    <w:p>
      <w:pPr>
        <w:tabs>
          <w:tab w:val="right" w:pos="9000" w:leader="dot"/>
        </w:tabs>
        <w:spacing w:after="60" w:line="260"/>
      </w:pPr>
      <w:r>
        <w:rPr>
          <w:rFonts w:ascii="Times New Roman" w:cs="Times New Roman" w:eastAsia="Times New Roman" w:hAnsi="Times New Roman"/>
          <w:sz w:val="21"/>
          <w:szCs w:val="21"/>
        </w:rPr>
        <w:t xml:space="preserve">Fig. 2  GARCH(1,1) conditional-volatility forecast</w:t>
      </w:r>
      <w:r>
        <w:rPr>
          <w:rFonts w:ascii="Times New Roman" w:cs="Times New Roman" w:eastAsia="Times New Roman" w:hAnsi="Times New Roman"/>
          <w:sz w:val="21"/>
          <w:szCs w:val="21"/>
        </w:rPr>
        <w:t xml:space="preserve">	24</w:t>
      </w:r>
    </w:p>
    <w:p>
      <w:pPr>
        <w:tabs>
          <w:tab w:val="right" w:pos="9000" w:leader="dot"/>
        </w:tabs>
        <w:spacing w:after="60" w:line="260"/>
      </w:pPr>
      <w:r>
        <w:rPr>
          <w:rFonts w:ascii="Times New Roman" w:cs="Times New Roman" w:eastAsia="Times New Roman" w:hAnsi="Times New Roman"/>
          <w:sz w:val="21"/>
          <w:szCs w:val="21"/>
        </w:rPr>
        <w:t xml:space="preserve">Fig. 3  XGBoost screener — top 10 feature importances</w:t>
      </w:r>
      <w:r>
        <w:rPr>
          <w:rFonts w:ascii="Times New Roman" w:cs="Times New Roman" w:eastAsia="Times New Roman" w:hAnsi="Times New Roman"/>
          <w:sz w:val="21"/>
          <w:szCs w:val="21"/>
        </w:rPr>
        <w:t xml:space="preserve">	27</w:t>
      </w:r>
    </w:p>
    <w:p>
      <w:pPr>
        <w:tabs>
          <w:tab w:val="right" w:pos="9000" w:leader="dot"/>
        </w:tabs>
        <w:spacing w:after="60" w:line="260"/>
      </w:pPr>
      <w:r>
        <w:rPr>
          <w:rFonts w:ascii="Times New Roman" w:cs="Times New Roman" w:eastAsia="Times New Roman" w:hAnsi="Times New Roman"/>
          <w:sz w:val="21"/>
          <w:szCs w:val="21"/>
        </w:rPr>
        <w:t xml:space="preserve">Fig. 4  AIS live chokepoint ship counts</w:t>
      </w:r>
      <w:r>
        <w:rPr>
          <w:rFonts w:ascii="Times New Roman" w:cs="Times New Roman" w:eastAsia="Times New Roman" w:hAnsi="Times New Roman"/>
          <w:sz w:val="21"/>
          <w:szCs w:val="21"/>
        </w:rPr>
        <w:t xml:space="preserve">	30</w:t>
      </w:r>
    </w:p>
    <w:p>
      <w:pPr>
        <w:tabs>
          <w:tab w:val="right" w:pos="9000" w:leader="dot"/>
        </w:tabs>
        <w:spacing w:after="60" w:line="260"/>
      </w:pPr>
      <w:r>
        <w:rPr>
          <w:rFonts w:ascii="Times New Roman" w:cs="Times New Roman" w:eastAsia="Times New Roman" w:hAnsi="Times New Roman"/>
          <w:sz w:val="21"/>
          <w:szCs w:val="21"/>
        </w:rPr>
        <w:t xml:space="preserve">Fig. 5  PCA scree plot</w:t>
      </w:r>
      <w:r>
        <w:rPr>
          <w:rFonts w:ascii="Times New Roman" w:cs="Times New Roman" w:eastAsia="Times New Roman" w:hAnsi="Times New Roman"/>
          <w:sz w:val="21"/>
          <w:szCs w:val="21"/>
        </w:rPr>
        <w:t xml:space="preserve">	34</w:t>
      </w:r>
    </w:p>
    <w:p>
      <w:pPr>
        <w:tabs>
          <w:tab w:val="right" w:pos="9000" w:leader="dot"/>
        </w:tabs>
        <w:spacing w:after="60" w:line="260"/>
      </w:pPr>
      <w:r>
        <w:rPr>
          <w:rFonts w:ascii="Times New Roman" w:cs="Times New Roman" w:eastAsia="Times New Roman" w:hAnsi="Times New Roman"/>
          <w:sz w:val="21"/>
          <w:szCs w:val="21"/>
        </w:rPr>
        <w:t xml:space="preserve">Fig. 6  PC1–PC3 eigenvector loadings vs tenor</w:t>
      </w:r>
      <w:r>
        <w:rPr>
          <w:rFonts w:ascii="Times New Roman" w:cs="Times New Roman" w:eastAsia="Times New Roman" w:hAnsi="Times New Roman"/>
          <w:sz w:val="21"/>
          <w:szCs w:val="21"/>
        </w:rPr>
        <w:t xml:space="preserve">	34</w:t>
      </w:r>
    </w:p>
    <w:p>
      <w:pPr>
        <w:tabs>
          <w:tab w:val="right" w:pos="9000" w:leader="dot"/>
        </w:tabs>
        <w:spacing w:after="60" w:line="260"/>
      </w:pPr>
      <w:r>
        <w:rPr>
          <w:rFonts w:ascii="Times New Roman" w:cs="Times New Roman" w:eastAsia="Times New Roman" w:hAnsi="Times New Roman"/>
          <w:sz w:val="21"/>
          <w:szCs w:val="21"/>
        </w:rPr>
        <w:t xml:space="preserve">Fig. 7  Auto-PM realised equity curve and drawdown</w:t>
      </w:r>
      <w:r>
        <w:rPr>
          <w:rFonts w:ascii="Times New Roman" w:cs="Times New Roman" w:eastAsia="Times New Roman" w:hAnsi="Times New Roman"/>
          <w:sz w:val="21"/>
          <w:szCs w:val="21"/>
        </w:rPr>
        <w:t xml:space="preserve">	36</w:t>
      </w:r>
    </w:p>
    <w:p>
      <w:pPr>
        <w:tabs>
          <w:tab w:val="right" w:pos="9000" w:leader="dot"/>
        </w:tabs>
        <w:spacing w:after="60" w:line="260"/>
      </w:pPr>
      <w:r>
        <w:rPr>
          <w:rFonts w:ascii="Times New Roman" w:cs="Times New Roman" w:eastAsia="Times New Roman" w:hAnsi="Times New Roman"/>
          <w:sz w:val="21"/>
          <w:szCs w:val="21"/>
        </w:rPr>
        <w:t xml:space="preserve">Fig. 8  Quantitative performance metrics comparison</w:t>
      </w:r>
      <w:r>
        <w:rPr>
          <w:rFonts w:ascii="Times New Roman" w:cs="Times New Roman" w:eastAsia="Times New Roman" w:hAnsi="Times New Roman"/>
          <w:sz w:val="21"/>
          <w:szCs w:val="21"/>
        </w:rPr>
        <w:t xml:space="preserve">	38</w:t>
      </w:r>
    </w:p>
    <w:p>
      <w:pPr>
        <w:tabs>
          <w:tab w:val="right" w:pos="9000" w:leader="dot"/>
        </w:tabs>
        <w:spacing w:after="60" w:line="260"/>
      </w:pPr>
      <w:r>
        <w:rPr>
          <w:rFonts w:ascii="Times New Roman" w:cs="Times New Roman" w:eastAsia="Times New Roman" w:hAnsi="Times New Roman"/>
          <w:sz w:val="21"/>
          <w:szCs w:val="21"/>
        </w:rPr>
        <w:t xml:space="preserve">Fig. 9  LLM usage analytics (decisions + latency)</w:t>
      </w:r>
      <w:r>
        <w:rPr>
          <w:rFonts w:ascii="Times New Roman" w:cs="Times New Roman" w:eastAsia="Times New Roman" w:hAnsi="Times New Roman"/>
          <w:sz w:val="21"/>
          <w:szCs w:val="21"/>
        </w:rPr>
        <w:t xml:space="preserve">	39</w:t>
      </w:r>
    </w:p>
    <w:p>
      <w:pPr>
        <w:tabs>
          <w:tab w:val="right" w:pos="9000" w:leader="dot"/>
        </w:tabs>
        <w:spacing w:after="60" w:line="260"/>
      </w:pPr>
      <w:r>
        <w:rPr>
          <w:rFonts w:ascii="Times New Roman" w:cs="Times New Roman" w:eastAsia="Times New Roman" w:hAnsi="Times New Roman"/>
          <w:sz w:val="21"/>
          <w:szCs w:val="21"/>
        </w:rPr>
        <w:t xml:space="preserve">Fig. 10  Workflow efficiency — Traditional vs Hedgyyyboo</w:t>
      </w:r>
      <w:r>
        <w:rPr>
          <w:rFonts w:ascii="Times New Roman" w:cs="Times New Roman" w:eastAsia="Times New Roman" w:hAnsi="Times New Roman"/>
          <w:sz w:val="21"/>
          <w:szCs w:val="21"/>
        </w:rPr>
        <w:t xml:space="preserve">	42</w:t>
      </w:r>
    </w:p>
    <w:p>
      <w:pPr>
        <w:tabs>
          <w:tab w:val="right" w:pos="9000" w:leader="dot"/>
        </w:tabs>
        <w:spacing w:after="60" w:line="260"/>
      </w:pPr>
      <w:r>
        <w:rPr>
          <w:rFonts w:ascii="Times New Roman" w:cs="Times New Roman" w:eastAsia="Times New Roman" w:hAnsi="Times New Roman"/>
          <w:sz w:val="21"/>
          <w:szCs w:val="21"/>
        </w:rPr>
        <w:t xml:space="preserve">Fig. 11  Qualitative internal-audit radar (1-5)</w:t>
      </w:r>
      <w:r>
        <w:rPr>
          <w:rFonts w:ascii="Times New Roman" w:cs="Times New Roman" w:eastAsia="Times New Roman" w:hAnsi="Times New Roman"/>
          <w:sz w:val="21"/>
          <w:szCs w:val="21"/>
        </w:rPr>
        <w:t xml:space="preserve">	48</w:t>
      </w:r>
    </w:p>
    <w:p>
      <w:pPr>
        <w:spacing w:after="60" w:before="200"/>
      </w:pPr>
      <w:r>
        <w:rPr>
          <w:rFonts w:ascii="Times New Roman" w:cs="Times New Roman" w:eastAsia="Times New Roman" w:hAnsi="Times New Roman"/>
          <w:b/>
          <w:bCs/>
          <w:sz w:val="22"/>
          <w:szCs w:val="22"/>
        </w:rPr>
        <w:t xml:space="preserve">List of Tables</w:t>
      </w:r>
    </w:p>
    <w:p>
      <w:pPr>
        <w:tabs>
          <w:tab w:val="right" w:pos="9000" w:leader="dot"/>
        </w:tabs>
        <w:spacing w:after="60" w:line="260"/>
      </w:pPr>
      <w:r>
        <w:rPr>
          <w:rFonts w:ascii="Times New Roman" w:cs="Times New Roman" w:eastAsia="Times New Roman" w:hAnsi="Times New Roman"/>
          <w:sz w:val="21"/>
          <w:szCs w:val="21"/>
        </w:rPr>
        <w:t xml:space="preserve">Table [1]  System Performance Metrics Summary</w:t>
      </w:r>
      <w:r>
        <w:rPr>
          <w:rFonts w:ascii="Times New Roman" w:cs="Times New Roman" w:eastAsia="Times New Roman" w:hAnsi="Times New Roman"/>
          <w:sz w:val="21"/>
          <w:szCs w:val="21"/>
        </w:rPr>
        <w:t xml:space="preserve">	38</w:t>
      </w:r>
    </w:p>
    <w:p>
      <w:pPr>
        <w:tabs>
          <w:tab w:val="right" w:pos="9000" w:leader="dot"/>
        </w:tabs>
        <w:spacing w:after="60" w:line="260"/>
      </w:pPr>
      <w:r>
        <w:rPr>
          <w:rFonts w:ascii="Times New Roman" w:cs="Times New Roman" w:eastAsia="Times New Roman" w:hAnsi="Times New Roman"/>
          <w:sz w:val="21"/>
          <w:szCs w:val="21"/>
        </w:rPr>
        <w:t xml:space="preserve">Table [2]  Dataset Overview (Appendix B)</w:t>
      </w:r>
      <w:r>
        <w:rPr>
          <w:rFonts w:ascii="Times New Roman" w:cs="Times New Roman" w:eastAsia="Times New Roman" w:hAnsi="Times New Roman"/>
          <w:sz w:val="21"/>
          <w:szCs w:val="21"/>
        </w:rPr>
        <w:t xml:space="preserve">	56</w:t>
      </w:r>
    </w:p>
    <w:p>
      <w:pPr>
        <w:tabs>
          <w:tab w:val="right" w:pos="9000" w:leader="dot"/>
        </w:tabs>
        <w:spacing w:after="60" w:line="260"/>
      </w:pPr>
      <w:r>
        <w:rPr>
          <w:rFonts w:ascii="Times New Roman" w:cs="Times New Roman" w:eastAsia="Times New Roman" w:hAnsi="Times New Roman"/>
          <w:sz w:val="21"/>
          <w:szCs w:val="21"/>
        </w:rPr>
        <w:t xml:space="preserve">Table [3]  Hardware &amp; Software Components (Appendix C)</w:t>
      </w:r>
      <w:r>
        <w:rPr>
          <w:rFonts w:ascii="Times New Roman" w:cs="Times New Roman" w:eastAsia="Times New Roman" w:hAnsi="Times New Roman"/>
          <w:sz w:val="21"/>
          <w:szCs w:val="21"/>
        </w:rPr>
        <w:t xml:space="preserve">	57</w:t>
      </w:r>
    </w:p>
    <w:p>
      <w:pPr>
        <w:pageBreakBefore/>
        <w:spacing w:after="320" w:before="480" w:line="360"/>
        <w:jc w:val="center"/>
      </w:pPr>
      <w:r>
        <w:rPr>
          <w:rFonts w:ascii="Times New Roman" w:cs="Times New Roman" w:eastAsia="Times New Roman" w:hAnsi="Times New Roman"/>
          <w:b/>
          <w:bCs/>
          <w:sz w:val="36"/>
          <w:szCs w:val="36"/>
        </w:rPr>
        <w:t xml:space="preserve">Chapter 1 : Introduction</w:t>
      </w:r>
    </w:p>
    <w:p>
      <w:pPr>
        <w:spacing w:after="120" w:line="360"/>
        <w:ind w:firstLine="360"/>
        <w:jc w:val="both"/>
      </w:pPr>
      <w:r>
        <w:rPr>
          <w:rFonts w:ascii="Times New Roman" w:cs="Times New Roman" w:eastAsia="Times New Roman" w:hAnsi="Times New Roman"/>
          <w:sz w:val="22"/>
          <w:szCs w:val="22"/>
        </w:rPr>
        <w:t xml:space="preserve">This chapter introduces the Hedgyyyboo capstone project, motivates the need for an open, reproducible multi-asset analytics platform, states the problem tackled, lists the salient contributions, and sets out the organisation of the remaining chapters.</w:t>
      </w:r>
    </w:p>
    <w:p>
      <w:pPr>
        <w:spacing w:after="160" w:before="320" w:line="360"/>
        <w:jc w:val="left"/>
      </w:pPr>
      <w:r>
        <w:rPr>
          <w:rFonts w:ascii="Times New Roman" w:cs="Times New Roman" w:eastAsia="Times New Roman" w:hAnsi="Times New Roman"/>
          <w:b/>
          <w:bCs/>
          <w:sz w:val="28"/>
          <w:szCs w:val="28"/>
        </w:rPr>
        <w:t xml:space="preserve">1.1 Background Information</w:t>
      </w:r>
    </w:p>
    <w:p>
      <w:pPr>
        <w:spacing w:after="120" w:line="360"/>
        <w:ind w:firstLine="360"/>
        <w:jc w:val="both"/>
      </w:pPr>
      <w:r>
        <w:rPr>
          <w:rFonts w:ascii="Times New Roman" w:cs="Times New Roman" w:eastAsia="Times New Roman" w:hAnsi="Times New Roman"/>
          <w:sz w:val="22"/>
          <w:szCs w:val="22"/>
        </w:rPr>
        <w:t xml:space="preserve">The convergence of stochastic calculus, statistical factor models, machine learning and natural-language reasoning has fundamentally reshaped quantitative finance. In the past decade, the financial-services industry has undergone a rapid digital transformation in which data-driven techniques have become central to portfolio construction, risk management, and performance attribution. Among these, AI-powered narrative systems stand out for their ability to replicate aspects of sell-side research desks — delivering objective, consistent, and real-time commentary across multiple asset classes that was previously dependent on human analysts.</w:t>
      </w:r>
    </w:p>
    <w:p>
      <w:pPr>
        <w:spacing w:after="120" w:line="360"/>
        <w:ind w:firstLine="360"/>
        <w:jc w:val="both"/>
      </w:pPr>
      <w:r>
        <w:rPr>
          <w:rFonts w:ascii="Times New Roman" w:cs="Times New Roman" w:eastAsia="Times New Roman" w:hAnsi="Times New Roman"/>
          <w:sz w:val="22"/>
          <w:szCs w:val="22"/>
        </w:rPr>
        <w:t xml:space="preserve">Multi-asset portfolio management is a discipline that demands an extraordinary combination of statistical rigour, pricing expertise, macro awareness, and disciplined risk management. Traditional workflows extensively utilise expensive third-party terminals, such as Bloomberg Professional, which cost upwards of twenty-four thousand US dollars per seat per year and restrict access to institutional users. Most upcoming quantitative practitioners, especially at academic, boutique-fund, and retail levels, cannot access tooling that matches bulge-bracket banks. Geographic and economic constraints further exacerbate this gap.</w:t>
      </w:r>
    </w:p>
    <w:p>
      <w:pPr>
        <w:spacing w:after="120" w:line="360"/>
        <w:ind w:firstLine="360"/>
        <w:jc w:val="both"/>
      </w:pPr>
      <w:r>
        <w:rPr>
          <w:rFonts w:ascii="Times New Roman" w:cs="Times New Roman" w:eastAsia="Times New Roman" w:hAnsi="Times New Roman"/>
          <w:sz w:val="22"/>
          <w:szCs w:val="22"/>
        </w:rPr>
        <w:t xml:space="preserve">Recent developments in open-source numerical libraries — NumPy, SciPy, scikit-learn, and the arch GARCH package — combined with the release of open-weight large language models such as Google's Gemma-3n and Meta's Llama-3, have made it possible for a single developer to build a full multi-asset research terminal on a commodity laptop. In parallel, public data sources like the U.S. Treasury Daily Yield Curve, SEC EDGAR full-text filings, CFTC Commitments-of-Traders, and the free AISStream global AIS feed have removed every paywall from the data-acquisition layer. When combined with free-tier LLM inference on OpenRouter, the marginal cost of running an institutional-grade research stack approaches zero.</w:t>
      </w:r>
    </w:p>
    <w:p>
      <w:pPr>
        <w:spacing w:after="120" w:line="360"/>
        <w:ind w:firstLine="360"/>
        <w:jc w:val="both"/>
      </w:pPr>
      <w:r>
        <w:rPr>
          <w:rFonts w:ascii="Times New Roman" w:cs="Times New Roman" w:eastAsia="Times New Roman" w:hAnsi="Times New Roman"/>
          <w:sz w:val="22"/>
          <w:szCs w:val="22"/>
        </w:rPr>
        <w:t xml:space="preserve">Alongside these classical data sources, marine-traffic analytics through AIS transponder data has emerged as a novel alternative data source. Ship positions at chokepoints such as the Strait of Hormuz, the Suez Canal, and the Strait of Malacca provide real-time signals about oil flows, container-trade pressure, and supply-chain stress — signals that were until recently the exclusive domain of hedge funds with seven-figure data budgets. Hedgyyyboo incorporates live AIS as a first-class research input, demonstrating that retail-accessible APIs now match what was recently a bespoke institutional capability.</w:t>
      </w:r>
    </w:p>
    <w:p>
      <w:pPr>
        <w:spacing w:after="160" w:before="320" w:line="360"/>
        <w:jc w:val="left"/>
      </w:pPr>
      <w:r>
        <w:rPr>
          <w:rFonts w:ascii="Times New Roman" w:cs="Times New Roman" w:eastAsia="Times New Roman" w:hAnsi="Times New Roman"/>
          <w:b/>
          <w:bCs/>
          <w:sz w:val="28"/>
          <w:szCs w:val="28"/>
        </w:rPr>
        <w:t xml:space="preserve">1.2 Motivation and Scope of the Report</w:t>
      </w:r>
    </w:p>
    <w:p>
      <w:pPr>
        <w:spacing w:after="120" w:line="360"/>
        <w:ind w:firstLine="360"/>
        <w:jc w:val="both"/>
      </w:pPr>
      <w:r>
        <w:rPr>
          <w:rFonts w:ascii="Times New Roman" w:cs="Times New Roman" w:eastAsia="Times New Roman" w:hAnsi="Times New Roman"/>
          <w:sz w:val="22"/>
          <w:szCs w:val="22"/>
        </w:rPr>
        <w:t xml:space="preserve">This work is motivated by the urgent need for an affordable, reproducible, multi-asset research terminal that matches the analytical depth of institutional incumbents while demonstrating the integration of modern LLM and ML techniques. Three pain points drove the design decisions.</w:t>
      </w:r>
    </w:p>
    <w:p>
      <w:pPr>
        <w:spacing w:after="120" w:line="360"/>
        <w:ind w:firstLine="360"/>
        <w:jc w:val="both"/>
      </w:pPr>
      <w:r>
        <w:rPr>
          <w:rFonts w:ascii="Times New Roman" w:cs="Times New Roman" w:eastAsia="Times New Roman" w:hAnsi="Times New Roman"/>
          <w:sz w:val="22"/>
          <w:szCs w:val="22"/>
        </w:rPr>
        <w:t xml:space="preserve">First, cost. A Bloomberg Professional seat costs approximately twenty thousand US dollars annually per user, which excludes virtually all independent quants, student researchers, and small funds. A zero-marginal-cost alternative built entirely on free-tier data and inference provides a democratising force for the global quantitative-finance community.</w:t>
      </w:r>
    </w:p>
    <w:p>
      <w:pPr>
        <w:spacing w:after="120" w:line="360"/>
        <w:ind w:firstLine="360"/>
        <w:jc w:val="both"/>
      </w:pPr>
      <w:r>
        <w:rPr>
          <w:rFonts w:ascii="Times New Roman" w:cs="Times New Roman" w:eastAsia="Times New Roman" w:hAnsi="Times New Roman"/>
          <w:sz w:val="22"/>
          <w:szCs w:val="22"/>
        </w:rPr>
        <w:t xml:space="preserve">Second, speed. Morning-brief preparation on an institutional desk typically consumes thirty to sixty minutes of a senior analyst's time every trading day. An LLM-backed narrative pipeline that ingests live portfolio state plus seven quantitative-model outputs plus top market headlines produces a comparable four-section brief in approximately seven seconds.</w:t>
      </w:r>
    </w:p>
    <w:p>
      <w:pPr>
        <w:spacing w:after="120" w:line="360"/>
        <w:ind w:firstLine="360"/>
        <w:jc w:val="both"/>
      </w:pPr>
      <w:r>
        <w:rPr>
          <w:rFonts w:ascii="Times New Roman" w:cs="Times New Roman" w:eastAsia="Times New Roman" w:hAnsi="Times New Roman"/>
          <w:sz w:val="22"/>
          <w:szCs w:val="22"/>
        </w:rPr>
        <w:t xml:space="preserve">Third, fragmentation. Existing open-source stacks specialise — QuantLib for rates, Zipline for equities, OpenBB for research — and no single system glues all asset classes plus live marine traffic plus an autonomous trade engine plus an ML screener into one coherent terminal. Hedgyyyboo is the first attempt at such a unified platform under a permissive open-source licence.</w:t>
      </w:r>
    </w:p>
    <w:p>
      <w:pPr>
        <w:spacing w:after="120" w:line="360"/>
        <w:ind w:firstLine="360"/>
        <w:jc w:val="both"/>
      </w:pPr>
      <w:r>
        <w:rPr>
          <w:rFonts w:ascii="Times New Roman" w:cs="Times New Roman" w:eastAsia="Times New Roman" w:hAnsi="Times New Roman"/>
          <w:sz w:val="22"/>
          <w:szCs w:val="22"/>
        </w:rPr>
        <w:t xml:space="preserve">The scope of this report covers the complete software development lifecycle. Chapter 2 conducts an exhaustive literature review. Chapter 3 presents the architectural design and implementation details across seven numerical models and three front-end desks. Chapter 4 reports empirical results. Chapter 5 discusses advantages, limitations, and applications. Chapter 6 concludes and outlines future work. Four appendices document source-code excerpts, dataset specifications, a full hardware and software component list, and the associated research-paper publication pipeline.</w:t>
      </w:r>
    </w:p>
    <w:p>
      <w:pPr>
        <w:spacing w:after="160" w:before="320" w:line="360"/>
        <w:jc w:val="left"/>
      </w:pPr>
      <w:r>
        <w:rPr>
          <w:rFonts w:ascii="Times New Roman" w:cs="Times New Roman" w:eastAsia="Times New Roman" w:hAnsi="Times New Roman"/>
          <w:b/>
          <w:bCs/>
          <w:sz w:val="28"/>
          <w:szCs w:val="28"/>
        </w:rPr>
        <w:t xml:space="preserve">1.3 Problem Statement</w:t>
      </w:r>
    </w:p>
    <w:p>
      <w:pPr>
        <w:spacing w:after="120" w:line="360"/>
        <w:ind w:firstLine="360"/>
        <w:jc w:val="both"/>
      </w:pPr>
      <w:r>
        <w:rPr>
          <w:rFonts w:ascii="Times New Roman" w:cs="Times New Roman" w:eastAsia="Times New Roman" w:hAnsi="Times New Roman"/>
          <w:sz w:val="22"/>
          <w:szCs w:val="22"/>
        </w:rPr>
        <w:t xml:space="preserve">Traditional multi-asset quantitative research relies on fragmented tooling, proprietary data, and manual narrative synthesis. This combination produces three concrete problems that block access for non-institutional practitioners. Subjectivity and inconsistency arise when different analysts interpret the same market data differently. High cost and geographic concentration restrict institutional-grade analytics to major financial centres. Absence of an end-to-end autonomous pipeline means that even when individual components are available, no open system orchestrates data ingestion, signal computation, LLM narrative generation, trade execution, and ML screening into a single reproducible artefact.</w:t>
      </w:r>
    </w:p>
    <w:p>
      <w:pPr>
        <w:spacing w:after="120" w:line="360"/>
        <w:ind w:firstLine="360"/>
        <w:jc w:val="both"/>
      </w:pPr>
      <w:r>
        <w:rPr>
          <w:rFonts w:ascii="Times New Roman" w:cs="Times New Roman" w:eastAsia="Times New Roman" w:hAnsi="Times New Roman"/>
          <w:sz w:val="22"/>
          <w:szCs w:val="22"/>
        </w:rPr>
        <w:t xml:space="preserve">The central problem addressed by this capstone is therefore the design, implementation, and empirical validation of a unified multi-asset quantitative analytics platform that satisfies six simultaneous criteria. The platform must run on commodity hardware (a single laptop), cost nothing in marginal inference or data fees, produce narrative output grounded in live numerical signals, execute autonomous paper trades with institutional-grade risk management, retain ML training artefacts for out-of-band use, and provide marine-traffic analytics as an alternative-data research channel.</w:t>
      </w:r>
    </w:p>
    <w:p>
      <w:pPr>
        <w:spacing w:after="120" w:line="360"/>
        <w:ind w:firstLine="360"/>
        <w:jc w:val="both"/>
      </w:pPr>
      <w:r>
        <w:rPr>
          <w:rFonts w:ascii="Times New Roman" w:cs="Times New Roman" w:eastAsia="Times New Roman" w:hAnsi="Times New Roman"/>
          <w:sz w:val="22"/>
          <w:szCs w:val="22"/>
        </w:rPr>
        <w:t xml:space="preserve">Three technical sub-problems flow from this: engineering a stable JSON contract between numerical modules and the retrieval-augmented LLM prompt, designing a market-hours-aware trade engine that distinguishes twenty-four-hour FX markets from regular-session equity markets, and building an ML-training pipeline that overcomes the cold-start problem of only having a handful of live paper trades to learn from.</w:t>
      </w:r>
    </w:p>
    <w:p>
      <w:pPr>
        <w:spacing w:after="160" w:before="320" w:line="360"/>
        <w:jc w:val="left"/>
      </w:pPr>
      <w:r>
        <w:rPr>
          <w:rFonts w:ascii="Times New Roman" w:cs="Times New Roman" w:eastAsia="Times New Roman" w:hAnsi="Times New Roman"/>
          <w:b/>
          <w:bCs/>
          <w:sz w:val="28"/>
          <w:szCs w:val="28"/>
        </w:rPr>
        <w:t xml:space="preserve">1.4 Salient Contributions</w:t>
      </w:r>
    </w:p>
    <w:p>
      <w:pPr>
        <w:spacing w:after="120" w:line="360"/>
        <w:ind w:firstLine="360"/>
        <w:jc w:val="both"/>
      </w:pPr>
      <w:r>
        <w:rPr>
          <w:rFonts w:ascii="Times New Roman" w:cs="Times New Roman" w:eastAsia="Times New Roman" w:hAnsi="Times New Roman"/>
          <w:sz w:val="22"/>
          <w:szCs w:val="22"/>
        </w:rPr>
        <w:t xml:space="preserve">This project advances the state of the art along five measurable axes.</w:t>
      </w:r>
    </w:p>
    <w:p>
      <w:pPr>
        <w:spacing w:after="120" w:line="360"/>
        <w:ind w:firstLine="360"/>
        <w:jc w:val="both"/>
      </w:pPr>
      <w:r>
        <w:rPr>
          <w:rFonts w:ascii="Times New Roman" w:cs="Times New Roman" w:eastAsia="Times New Roman" w:hAnsi="Times New Roman"/>
          <w:sz w:val="22"/>
          <w:szCs w:val="22"/>
        </w:rPr>
        <w:t xml:space="preserve">C1. Unified reference architecture. A reproducible three-tier architecture (Ingestion → Analytic Core → Presentation) that couples seven classical stochastic-calculus models, a retrieval-augmented LLM layer, a rule-based trade engine with trailing stops, and an XGBoost ML screener on a free-tier infrastructure stack.</w:t>
      </w:r>
    </w:p>
    <w:p>
      <w:pPr>
        <w:spacing w:after="120" w:line="360"/>
        <w:ind w:firstLine="360"/>
        <w:jc w:val="both"/>
      </w:pPr>
      <w:r>
        <w:rPr>
          <w:rFonts w:ascii="Times New Roman" w:cs="Times New Roman" w:eastAsia="Times New Roman" w:hAnsi="Times New Roman"/>
          <w:sz w:val="22"/>
          <w:szCs w:val="22"/>
        </w:rPr>
        <w:t xml:space="preserve">C2. End-to-end autonomous paper trade engine. Every sixty seconds an auto-PM cycle consults market hours, computes signal packets (Ornstein–Uhlenbeck MLE, Hurst, GARCH, yield slopes, momentum), queries Gemma-3n-E4B-it for a structured JSON decision, and writes the resulting trade to a unified SQLite ledger. Open positions are marked-to-market every minute and closed by stop-loss, take-profit, trailing-stop, or time-stop rules.</w:t>
      </w:r>
    </w:p>
    <w:p>
      <w:pPr>
        <w:spacing w:after="120" w:line="360"/>
        <w:ind w:firstLine="360"/>
        <w:jc w:val="both"/>
      </w:pPr>
      <w:r>
        <w:rPr>
          <w:rFonts w:ascii="Times New Roman" w:cs="Times New Roman" w:eastAsia="Times New Roman" w:hAnsi="Times New Roman"/>
          <w:sz w:val="22"/>
          <w:szCs w:val="22"/>
        </w:rPr>
        <w:t xml:space="preserve">C3. Alternative-data marine research channel. A dedicated Research page streams live AISStream AIS data, maintains an in-memory registry of 15,000+ ships, computes per-chokepoint counts at the Strait of Hormuz, Suez, Panama, Malacca, Singapore, Dover, Rotterdam and Bosporus, and exposes a grounded LLM chatbot that cites specific ship counts in its trade recommendations.</w:t>
      </w:r>
    </w:p>
    <w:p>
      <w:pPr>
        <w:spacing w:after="120" w:line="360"/>
        <w:ind w:firstLine="360"/>
        <w:jc w:val="both"/>
      </w:pPr>
      <w:r>
        <w:rPr>
          <w:rFonts w:ascii="Times New Roman" w:cs="Times New Roman" w:eastAsia="Times New Roman" w:hAnsi="Times New Roman"/>
          <w:sz w:val="22"/>
          <w:szCs w:val="22"/>
        </w:rPr>
        <w:t xml:space="preserve">C4. ML screener with historical backfill. An XGBoost binary classifier is trained on thousands of synthetic closed trades generated by walking two years of daily OHLC data with the same close rules the live engine uses. Transaction-cost haircuts and duration-weighted rates PnL remove the optimistic biases that naive daily-close simulation introduces. The trained .pkl artefact is downloadable for out-of-band research.</w:t>
      </w:r>
    </w:p>
    <w:p>
      <w:pPr>
        <w:spacing w:after="120" w:line="360"/>
        <w:ind w:firstLine="360"/>
        <w:jc w:val="both"/>
      </w:pPr>
      <w:r>
        <w:rPr>
          <w:rFonts w:ascii="Times New Roman" w:cs="Times New Roman" w:eastAsia="Times New Roman" w:hAnsi="Times New Roman"/>
          <w:sz w:val="22"/>
          <w:szCs w:val="22"/>
        </w:rPr>
        <w:t xml:space="preserve">C5. Institutional-grade observability. Every LLM call — prompt preview, response preview, latency, prompt and completion tokens, decision label, and status — is persisted to a dedicated SQLite table and surfaced on a dedicated AI-Models dashboard. The platform's in-memory counters are rehydrated from this table on every restart, giving the examiner a complete audit trail of every model decision ever made.</w:t>
      </w:r>
    </w:p>
    <w:p>
      <w:pPr>
        <w:spacing w:after="160" w:before="320" w:line="360"/>
        <w:jc w:val="left"/>
      </w:pPr>
      <w:r>
        <w:rPr>
          <w:rFonts w:ascii="Times New Roman" w:cs="Times New Roman" w:eastAsia="Times New Roman" w:hAnsi="Times New Roman"/>
          <w:b/>
          <w:bCs/>
          <w:sz w:val="28"/>
          <w:szCs w:val="28"/>
        </w:rPr>
        <w:t xml:space="preserve">1.5 Organisation of Report</w:t>
      </w:r>
    </w:p>
    <w:p>
      <w:pPr>
        <w:spacing w:after="120" w:line="360"/>
        <w:ind w:firstLine="360"/>
        <w:jc w:val="both"/>
      </w:pPr>
      <w:r>
        <w:rPr>
          <w:rFonts w:ascii="Times New Roman" w:cs="Times New Roman" w:eastAsia="Times New Roman" w:hAnsi="Times New Roman"/>
          <w:sz w:val="22"/>
          <w:szCs w:val="22"/>
        </w:rPr>
        <w:t xml:space="preserve">This report is structured into six chapters and four appendices.</w:t>
      </w:r>
    </w:p>
    <w:p>
      <w:pPr>
        <w:spacing w:after="120" w:line="360"/>
        <w:ind w:firstLine="360"/>
        <w:jc w:val="both"/>
      </w:pPr>
      <w:r>
        <w:rPr>
          <w:rFonts w:ascii="Times New Roman" w:cs="Times New Roman" w:eastAsia="Times New Roman" w:hAnsi="Times New Roman"/>
          <w:sz w:val="22"/>
          <w:szCs w:val="22"/>
        </w:rPr>
        <w:t xml:space="preserve">Chapter 1 provides foundational context, defines the problem, and enumerates the salient contributions. Chapter 2 conducts an exhaustive literature review covering the evolution of quantitative analytics in finance, classical stochastic-calculus pricing models, factor models and yield-curve analysis, GARCH volatility modelling, the LLM-in-finance literature, retrieval-augmented generation, alternative data from marine-AIS feeds, and the machine-learning-in-trading body of work.</w:t>
      </w:r>
    </w:p>
    <w:p>
      <w:pPr>
        <w:spacing w:after="120" w:line="360"/>
        <w:ind w:firstLine="360"/>
        <w:jc w:val="both"/>
      </w:pPr>
      <w:r>
        <w:rPr>
          <w:rFonts w:ascii="Times New Roman" w:cs="Times New Roman" w:eastAsia="Times New Roman" w:hAnsi="Times New Roman"/>
          <w:sz w:val="22"/>
          <w:szCs w:val="22"/>
        </w:rPr>
        <w:t xml:space="preserve">Chapter 3 details methodology and implementation across five major subsystems: system architecture, hardware and software specifications, the seven numerical engines, the autonomous trade engine, and the presentation layer across five front-end desks. Chapter 4 presents results and analysis: technical performance validation, LLM latency and grounding audit, ML screener training metrics, AIS throughput, and cross-desk end-to-end latency. Chapter 5 discusses advantages, current limitations, practical applications across pedagogy, research, and retail trading, and future-development directions. Chapter 6 concludes by synthesising key findings, stating contributions, and reflecting on the broader impact.</w:t>
      </w:r>
    </w:p>
    <w:p>
      <w:pPr>
        <w:spacing w:after="120" w:line="360"/>
        <w:ind w:firstLine="360"/>
        <w:jc w:val="both"/>
      </w:pPr>
      <w:r>
        <w:rPr>
          <w:rFonts w:ascii="Times New Roman" w:cs="Times New Roman" w:eastAsia="Times New Roman" w:hAnsi="Times New Roman"/>
          <w:sz w:val="22"/>
          <w:szCs w:val="22"/>
        </w:rPr>
        <w:t xml:space="preserve">References, four appendices documenting source-code flowcharts, dataset information, the full component list, and the associated research-paper publication, and the standard NMIMS annexures (project-registration form, topic-approval form, and capstone log book) close the report.</w:t>
      </w:r>
    </w:p>
    <w:p>
      <w:pPr>
        <w:spacing w:after="160" w:before="320" w:line="360"/>
        <w:jc w:val="left"/>
      </w:pPr>
      <w:r>
        <w:rPr>
          <w:rFonts w:ascii="Times New Roman" w:cs="Times New Roman" w:eastAsia="Times New Roman" w:hAnsi="Times New Roman"/>
          <w:b/>
          <w:bCs/>
          <w:sz w:val="28"/>
          <w:szCs w:val="28"/>
        </w:rPr>
        <w:t xml:space="preserve">1.6 Summary</w:t>
      </w:r>
    </w:p>
    <w:p>
      <w:pPr>
        <w:spacing w:after="120" w:line="360"/>
        <w:ind w:firstLine="360"/>
        <w:jc w:val="both"/>
      </w:pPr>
      <w:r>
        <w:rPr>
          <w:rFonts w:ascii="Times New Roman" w:cs="Times New Roman" w:eastAsia="Times New Roman" w:hAnsi="Times New Roman"/>
          <w:sz w:val="22"/>
          <w:szCs w:val="22"/>
        </w:rPr>
        <w:t xml:space="preserve">In summary, this chapter established that Hedgyyyboo tackles a concrete gap at the intersection of stochastic calculus, machine learning, alternative data, and natural-language reasoning. The platform delivers a reproducible reference implementation on commodity hardware with five measurable contributions spanning architecture, autonomous trading, marine-traffic research, ML training, and observability.</w:t>
      </w:r>
    </w:p>
    <w:p>
      <w:pPr>
        <w:pageBreakBefore/>
        <w:spacing w:after="320" w:before="480" w:line="360"/>
        <w:jc w:val="center"/>
      </w:pPr>
      <w:r>
        <w:rPr>
          <w:rFonts w:ascii="Times New Roman" w:cs="Times New Roman" w:eastAsia="Times New Roman" w:hAnsi="Times New Roman"/>
          <w:b/>
          <w:bCs/>
          <w:sz w:val="36"/>
          <w:szCs w:val="36"/>
        </w:rPr>
        <w:t xml:space="preserve">Chapter 2 : Literature Review</w:t>
      </w:r>
    </w:p>
    <w:p>
      <w:pPr>
        <w:spacing w:after="120" w:line="360"/>
        <w:ind w:firstLine="360"/>
        <w:jc w:val="both"/>
      </w:pPr>
      <w:r>
        <w:rPr>
          <w:rFonts w:ascii="Times New Roman" w:cs="Times New Roman" w:eastAsia="Times New Roman" w:hAnsi="Times New Roman"/>
          <w:sz w:val="22"/>
          <w:szCs w:val="22"/>
        </w:rPr>
        <w:t xml:space="preserve">This chapter reviews the body of work on which Hedgyyyboo is built. Section 2.1 traces the evolution of quantitative analytics in finance. Section 2.2 surveys stochastic-calculus pricing models. Section 2.3 covers yield-curve factor models and dimensionality reduction. Section 2.4 discusses GARCH volatility modelling and tail risk. Section 2.5 reviews large language models and retrieval-augmented generation in finance. Section 2.6 examines alternative-data marine-AIS analytics. Section 2.7 addresses machine-learning screeners for trade selection.</w:t>
      </w:r>
    </w:p>
    <w:p>
      <w:pPr>
        <w:spacing w:after="160" w:before="320" w:line="360"/>
        <w:jc w:val="left"/>
      </w:pPr>
      <w:r>
        <w:rPr>
          <w:rFonts w:ascii="Times New Roman" w:cs="Times New Roman" w:eastAsia="Times New Roman" w:hAnsi="Times New Roman"/>
          <w:b/>
          <w:bCs/>
          <w:sz w:val="28"/>
          <w:szCs w:val="28"/>
        </w:rPr>
        <w:t xml:space="preserve">2.1 Evolution of Quantitative Analytics in Finance</w:t>
      </w:r>
    </w:p>
    <w:p>
      <w:pPr>
        <w:spacing w:after="120" w:line="360"/>
        <w:ind w:firstLine="360"/>
        <w:jc w:val="both"/>
      </w:pPr>
      <w:r>
        <w:rPr>
          <w:rFonts w:ascii="Times New Roman" w:cs="Times New Roman" w:eastAsia="Times New Roman" w:hAnsi="Times New Roman"/>
          <w:sz w:val="22"/>
          <w:szCs w:val="22"/>
        </w:rPr>
        <w:t xml:space="preserve">Quantitative finance traces its modern origin to the Black–Scholes–Merton option-pricing formula [1] of 1973, the first closed-form solution to a parabolic partial differential equation derived from Itô's stochastic calculus. Since then, the field has bifurcated repeatedly. Risk-neutral pricing introduced the equivalent martingale measure. Heston [2] coupled the underlying diffusion with a mean-reverting variance process. Hull and White [3] extended Vasicek [4] from constant to deterministic mean-reversion levels for short-rate modelling.</w:t>
      </w:r>
    </w:p>
    <w:p>
      <w:pPr>
        <w:spacing w:after="120" w:line="360"/>
        <w:ind w:firstLine="360"/>
        <w:jc w:val="both"/>
      </w:pPr>
      <w:r>
        <w:rPr>
          <w:rFonts w:ascii="Times New Roman" w:cs="Times New Roman" w:eastAsia="Times New Roman" w:hAnsi="Times New Roman"/>
          <w:sz w:val="22"/>
          <w:szCs w:val="22"/>
        </w:rPr>
        <w:t xml:space="preserve">In parallel, the empirical literature established that high-dimensional term-structure dynamics are low-rank. Litterman and Scheinkman [11] demonstrated that three principal components explain ninety-eight percent of U.S. Treasury return variance — a finding replicated across every sovereign curve. Mandelbrot and van Ness [19] introduced fractional Brownian motion; Hurst [20] supplied the rescaled-range estimator of the long-range-dependence parameter H that is now standard in statistical arbitrage.</w:t>
      </w:r>
    </w:p>
    <w:p>
      <w:pPr>
        <w:spacing w:after="120" w:line="360"/>
        <w:ind w:firstLine="360"/>
        <w:jc w:val="both"/>
      </w:pPr>
      <w:r>
        <w:rPr>
          <w:rFonts w:ascii="Times New Roman" w:cs="Times New Roman" w:eastAsia="Times New Roman" w:hAnsi="Times New Roman"/>
          <w:sz w:val="22"/>
          <w:szCs w:val="22"/>
        </w:rPr>
        <w:t xml:space="preserve">The 2010s brought deep learning to finance. Kidger et al. [21] introduced Neural Stochastic Differential Equations as generative time-series models. Chen et al. [22] contributed Neural Ordinary Differential Equations with memory-efficient adjoint back-propagation. The 2022–2026 period then added a natural-language reasoning layer: BloombergGPT [28], FinGPT [27], and FinBERT [26] demonstrated that domain-specific transformer backbones can materially outperform general-purpose models on financial question answering. Retrieval-Augmented Generation, formalised by Lewis et al. [24] and surveyed by Gao et al. [25], grounds LLM output in external context and is the standard technique for reducing hallucination in numerical domains.</w:t>
      </w:r>
    </w:p>
    <w:p>
      <w:pPr>
        <w:spacing w:after="160" w:before="320" w:line="360"/>
        <w:jc w:val="left"/>
      </w:pPr>
      <w:r>
        <w:rPr>
          <w:rFonts w:ascii="Times New Roman" w:cs="Times New Roman" w:eastAsia="Times New Roman" w:hAnsi="Times New Roman"/>
          <w:b/>
          <w:bCs/>
          <w:sz w:val="28"/>
          <w:szCs w:val="28"/>
        </w:rPr>
        <w:t xml:space="preserve">2.2 Stochastic Calculus Pricing Models</w:t>
      </w:r>
    </w:p>
    <w:p>
      <w:pPr>
        <w:spacing w:after="120" w:line="360"/>
        <w:ind w:firstLine="360"/>
        <w:jc w:val="both"/>
      </w:pPr>
      <w:r>
        <w:rPr>
          <w:rFonts w:ascii="Times New Roman" w:cs="Times New Roman" w:eastAsia="Times New Roman" w:hAnsi="Times New Roman"/>
          <w:sz w:val="22"/>
          <w:szCs w:val="22"/>
        </w:rPr>
        <w:t xml:space="preserve">The family of stochastic-calculus pricing architectures has become the cornerstone of real-time asset valuation because each model admits either a closed-form or semi-closed-form solution that can be evaluated in milliseconds. Vasicek [4] and Uhlenbeck–Ornstein [5] identified mean-reverting Gaussian diffusions as foundational constructs. Discrete-time AR(1) reparameterisation produces the maximum-likelihood estimators used in the Hedgyyyboo FX desk for mean-reversion speed, long-run mean, and half-life.</w:t>
      </w:r>
    </w:p>
    <w:p>
      <w:pPr>
        <w:spacing w:after="120" w:line="360"/>
        <w:ind w:firstLine="360"/>
        <w:jc w:val="both"/>
      </w:pPr>
      <w:r>
        <w:rPr>
          <w:rFonts w:ascii="Times New Roman" w:cs="Times New Roman" w:eastAsia="Times New Roman" w:hAnsi="Times New Roman"/>
          <w:sz w:val="22"/>
          <w:szCs w:val="22"/>
        </w:rPr>
        <w:t xml:space="preserve">Gatheral [8] provides a practitioner's guide to volatility-surface calibration under the Heston model. Jamshidian [9] showed that a European swaption under a one-factor affine model decomposes into a strip of zero-coupon-bond options, each priced in closed form via the Gaussian cumulative distribution function. This decomposition underpins the Hedgyyyboo Hull–White swaption pricer on the Fixed-Income desk. For Monte-Carlo pricing of path-dependent equity derivatives under Heston, Andersen [10] developed a quadratic-exponential scheme that is robust against violation of the Feller condition that commonly arises in equity calibrations.</w:t>
      </w:r>
    </w:p>
    <w:p>
      <w:pPr>
        <w:spacing w:after="160" w:before="320" w:line="360"/>
        <w:jc w:val="left"/>
      </w:pPr>
      <w:r>
        <w:rPr>
          <w:rFonts w:ascii="Times New Roman" w:cs="Times New Roman" w:eastAsia="Times New Roman" w:hAnsi="Times New Roman"/>
          <w:b/>
          <w:bCs/>
          <w:sz w:val="28"/>
          <w:szCs w:val="28"/>
        </w:rPr>
        <w:t xml:space="preserve">2.3 Factor Models and Yield-Curve Analysis</w:t>
      </w:r>
    </w:p>
    <w:p>
      <w:pPr>
        <w:spacing w:after="120" w:line="360"/>
        <w:ind w:firstLine="360"/>
        <w:jc w:val="both"/>
      </w:pPr>
      <w:r>
        <w:rPr>
          <w:rFonts w:ascii="Times New Roman" w:cs="Times New Roman" w:eastAsia="Times New Roman" w:hAnsi="Times New Roman"/>
          <w:sz w:val="22"/>
          <w:szCs w:val="22"/>
        </w:rPr>
        <w:t xml:space="preserve">Principal Component Analysis remains the dominant technique in fixed-income analytics. Litterman and Scheinkman's [11] three-factor decomposition (Level, Slope, Curvature) replicates with remarkable consistency across every developed-market sovereign yield curve. Parametric alternatives — Nelson and Siegel [12] and its Svensson extension [13] — provide smooth-shape constraints but require non-convex optimisation at each fit step, making them less convenient for a daily cron-driven pipeline. Diebold and Li [14] showed that dynamic Nelson–Siegel with autoregressive factor dynamics produces out-of-sample term-structure forecasts competitive with more elaborate models.</w:t>
      </w:r>
    </w:p>
    <w:p>
      <w:pPr>
        <w:spacing w:after="120" w:line="360"/>
        <w:ind w:firstLine="360"/>
        <w:jc w:val="both"/>
      </w:pPr>
      <w:r>
        <w:rPr>
          <w:rFonts w:ascii="Times New Roman" w:cs="Times New Roman" w:eastAsia="Times New Roman" w:hAnsi="Times New Roman"/>
          <w:sz w:val="22"/>
          <w:szCs w:val="22"/>
        </w:rPr>
        <w:t xml:space="preserve">Hedgyyyboo uses PCA rather than Nelson–Siegel for its yield-curve decomposition because eigendecomposition of the sample covariance is a single LAPACK call and is deterministically fast. The daily scores z_t = φ_k^⊤ y_t are consumed by both the Fixed-Income desk UI and the RAG prompt builder, where they are translated to English by Gemma-3n.</w:t>
      </w:r>
    </w:p>
    <w:p>
      <w:pPr>
        <w:spacing w:after="160" w:before="320" w:line="360"/>
        <w:jc w:val="left"/>
      </w:pPr>
      <w:r>
        <w:rPr>
          <w:rFonts w:ascii="Times New Roman" w:cs="Times New Roman" w:eastAsia="Times New Roman" w:hAnsi="Times New Roman"/>
          <w:b/>
          <w:bCs/>
          <w:sz w:val="28"/>
          <w:szCs w:val="28"/>
        </w:rPr>
        <w:t xml:space="preserve">2.4 Volatility and Tail-Risk Modelling</w:t>
      </w:r>
    </w:p>
    <w:p>
      <w:pPr>
        <w:spacing w:after="120" w:line="360"/>
        <w:ind w:firstLine="360"/>
        <w:jc w:val="both"/>
      </w:pPr>
      <w:r>
        <w:rPr>
          <w:rFonts w:ascii="Times New Roman" w:cs="Times New Roman" w:eastAsia="Times New Roman" w:hAnsi="Times New Roman"/>
          <w:sz w:val="22"/>
          <w:szCs w:val="22"/>
        </w:rPr>
        <w:t xml:space="preserve">Engle's ARCH(q) model [15] and Bollerslev's GARCH(p,q) generalisation [16] parameterise conditional variance as a linear function of lagged squared innovations and lagged variances. The GARCH(1,1) specialisation is the industry default because of its parsimony — three parameters ω, α, β — and its empirical persistence pattern that matches the volatility-clustering phenomenon observed in equity-return histograms. Bollerslev [17] extended the error distribution from Gaussian to Student-t to capture fat tails.</w:t>
      </w:r>
    </w:p>
    <w:p>
      <w:pPr>
        <w:spacing w:after="120" w:line="360"/>
        <w:ind w:firstLine="360"/>
        <w:jc w:val="both"/>
      </w:pPr>
      <w:r>
        <w:rPr>
          <w:rFonts w:ascii="Times New Roman" w:cs="Times New Roman" w:eastAsia="Times New Roman" w:hAnsi="Times New Roman"/>
          <w:sz w:val="22"/>
          <w:szCs w:val="22"/>
        </w:rPr>
        <w:t xml:space="preserve">McNeil, Frey and Embrechts [18] provide the canonical treatment of Value-at-Risk and Expected-Shortfall estimation. Kupiec [34] developed the unconditional-coverage likelihood-ratio test that Hedgyyyboo uses to validate empirical VaR coverage on its fifty-stock equity universe. The arch package, on which our implementation depends, has been observed to segfault on degenerate variance windows — this risk is addressed in the historical-backfill module by disabling GARCH during the walk.</w:t>
      </w:r>
    </w:p>
    <w:p>
      <w:pPr>
        <w:spacing w:after="160" w:before="320" w:line="360"/>
        <w:jc w:val="left"/>
      </w:pPr>
      <w:r>
        <w:rPr>
          <w:rFonts w:ascii="Times New Roman" w:cs="Times New Roman" w:eastAsia="Times New Roman" w:hAnsi="Times New Roman"/>
          <w:b/>
          <w:bCs/>
          <w:sz w:val="28"/>
          <w:szCs w:val="28"/>
        </w:rPr>
        <w:t xml:space="preserve">2.5 Large Language Models and Retrieval-Augmented Generation</w:t>
      </w:r>
    </w:p>
    <w:p>
      <w:pPr>
        <w:spacing w:after="120" w:line="360"/>
        <w:ind w:firstLine="360"/>
        <w:jc w:val="both"/>
      </w:pPr>
      <w:r>
        <w:rPr>
          <w:rFonts w:ascii="Times New Roman" w:cs="Times New Roman" w:eastAsia="Times New Roman" w:hAnsi="Times New Roman"/>
          <w:sz w:val="22"/>
          <w:szCs w:val="22"/>
        </w:rPr>
        <w:t xml:space="preserve">Finance-specific LLMs have proliferated since 2020. Araci [26] fine-tuned BERT on financial news for sentiment classification with FinBERT. Yang et al. [27] released FinGPT, an open-source family targeting financial question-answering. Wu et al. [28] published BloombergGPT, a fifty-billion-parameter closed-weight decoder trained on Bloomberg's internal corpus — the state-of-the-art on FiQA but proprietary and therefore not reproducible.</w:t>
      </w:r>
    </w:p>
    <w:p>
      <w:pPr>
        <w:spacing w:after="120" w:line="360"/>
        <w:ind w:firstLine="360"/>
        <w:jc w:val="both"/>
      </w:pPr>
      <w:r>
        <w:rPr>
          <w:rFonts w:ascii="Times New Roman" w:cs="Times New Roman" w:eastAsia="Times New Roman" w:hAnsi="Times New Roman"/>
          <w:sz w:val="22"/>
          <w:szCs w:val="22"/>
        </w:rPr>
        <w:t xml:space="preserve">The open-weight alternatives are the practically relevant models for public-good research. Google DeepMind released Gemma-3 [29] under a permissive licence. The four-billion-parameter instruction-tuned variant, Gemma-3n-E4B-it, fits comfortably into commodity GPU memory and is served free-of-charge by OpenRouter at twenty requests per minute. It is the natural candidate for a zero-budget platform.</w:t>
      </w:r>
    </w:p>
    <w:p>
      <w:pPr>
        <w:spacing w:after="120" w:line="360"/>
        <w:ind w:firstLine="360"/>
        <w:jc w:val="both"/>
      </w:pPr>
      <w:r>
        <w:rPr>
          <w:rFonts w:ascii="Times New Roman" w:cs="Times New Roman" w:eastAsia="Times New Roman" w:hAnsi="Times New Roman"/>
          <w:sz w:val="22"/>
          <w:szCs w:val="22"/>
        </w:rPr>
        <w:t xml:space="preserve">Retrieval-Augmented Generation was formalised by Lewis et al. [24]. Gao et al. [25] provide a comprehensive survey. Prior finance-RAG work tends to target static document bases such as SEC 10-K filings or earnings-call transcripts. Hedgyyyboo differs by retrieving live numerical computations — signal packets, portfolio state, ship counts — refreshed each cycle, which to our knowledge has not been previously demonstrated in open source.</w:t>
      </w:r>
    </w:p>
    <w:p>
      <w:pPr>
        <w:spacing w:after="120" w:line="360"/>
        <w:ind w:firstLine="360"/>
        <w:jc w:val="both"/>
      </w:pPr>
      <w:r>
        <w:rPr>
          <w:rFonts w:ascii="Times New Roman" w:cs="Times New Roman" w:eastAsia="Times New Roman" w:hAnsi="Times New Roman"/>
          <w:sz w:val="22"/>
          <w:szCs w:val="22"/>
        </w:rPr>
        <w:t xml:space="preserve">Hallucination in LLM output has been extensively documented by Bang et al. [30]. Zheng et al. [32] introduced the LLM-as-judge pattern in which a second, typically stronger, model audits the first model's output. Chen et al. [33] published the FinQA numerical-reasoning benchmark. A notable engineering subtlety specific to Gemma-3n — the rejection of system-role messages with HTTP 400 "Developer instruction is not enabled" — is not documented in the Gemma-3 technical report but is mandatory knowledge for any production RAG stack targeting the free tier.</w:t>
      </w:r>
    </w:p>
    <w:p>
      <w:pPr>
        <w:spacing w:after="160" w:before="320" w:line="360"/>
        <w:jc w:val="left"/>
      </w:pPr>
      <w:r>
        <w:rPr>
          <w:rFonts w:ascii="Times New Roman" w:cs="Times New Roman" w:eastAsia="Times New Roman" w:hAnsi="Times New Roman"/>
          <w:b/>
          <w:bCs/>
          <w:sz w:val="28"/>
          <w:szCs w:val="28"/>
        </w:rPr>
        <w:t xml:space="preserve">2.6 Alternative Data and Marine-AIS Analytics</w:t>
      </w:r>
    </w:p>
    <w:p>
      <w:pPr>
        <w:spacing w:after="120" w:line="360"/>
        <w:ind w:firstLine="360"/>
        <w:jc w:val="both"/>
      </w:pPr>
      <w:r>
        <w:rPr>
          <w:rFonts w:ascii="Times New Roman" w:cs="Times New Roman" w:eastAsia="Times New Roman" w:hAnsi="Times New Roman"/>
          <w:sz w:val="22"/>
          <w:szCs w:val="22"/>
        </w:rPr>
        <w:t xml:space="preserve">Automatic Identification System (AIS) data has emerged as an institutional-grade alternative data source for macro research. The original AIS standard was established by the International Maritime Organization for collision avoidance; its self-reported position, course and speed broadcasts have since been aggregated globally by services such as MarineTraffic, Kpler and AISStream. Commercial feeds cost hundreds of thousands of dollars annually; the free AISStream tier [40] provides global WebSocket access at a cadence sufficient for supply-chain research.</w:t>
      </w:r>
    </w:p>
    <w:p>
      <w:pPr>
        <w:spacing w:after="120" w:line="360"/>
        <w:ind w:firstLine="360"/>
        <w:jc w:val="both"/>
      </w:pPr>
      <w:r>
        <w:rPr>
          <w:rFonts w:ascii="Times New Roman" w:cs="Times New Roman" w:eastAsia="Times New Roman" w:hAnsi="Times New Roman"/>
          <w:sz w:val="22"/>
          <w:szCs w:val="22"/>
        </w:rPr>
        <w:t xml:space="preserve">Academic work on AIS-based trade signals is still emerging. Bernstein et al. reported correlations between tanker concentration at the Strait of Hormuz and Brent crude forward curves. Kpler's public research documents container-ship dwell time at the Suez Canal as a leading indicator of global-trade activity. Rotterdam port-call data provides real-time signals for European industrial activity. Hedgyyyboo operationalises this literature by streaming AIS via WebSocket into an in-memory registry, tabulating per-chokepoint ship counts, and surfacing them to a grounded LLM that can reference specific counts in trade recommendations.</w:t>
      </w:r>
    </w:p>
    <w:p>
      <w:pPr>
        <w:spacing w:after="160" w:before="320" w:line="360"/>
        <w:jc w:val="left"/>
      </w:pPr>
      <w:r>
        <w:rPr>
          <w:rFonts w:ascii="Times New Roman" w:cs="Times New Roman" w:eastAsia="Times New Roman" w:hAnsi="Times New Roman"/>
          <w:b/>
          <w:bCs/>
          <w:sz w:val="28"/>
          <w:szCs w:val="28"/>
        </w:rPr>
        <w:t xml:space="preserve">2.7 Machine Learning for Trade Selection</w:t>
      </w:r>
    </w:p>
    <w:p>
      <w:pPr>
        <w:spacing w:after="120" w:line="360"/>
        <w:ind w:firstLine="360"/>
        <w:jc w:val="both"/>
      </w:pPr>
      <w:r>
        <w:rPr>
          <w:rFonts w:ascii="Times New Roman" w:cs="Times New Roman" w:eastAsia="Times New Roman" w:hAnsi="Times New Roman"/>
          <w:sz w:val="22"/>
          <w:szCs w:val="22"/>
        </w:rPr>
        <w:t xml:space="preserve">A rich literature discusses ML-based trade screening. Lopez de Prado's Advances in Financial Machine Learning [39] provides the canonical treatment of purged walk-forward cross-validation, the embargo concept, and meta-labelling. The meta-labelling pattern — training a classifier to predict whether a trade taken by a primary model will be profitable — maps directly onto Hedgyyyboo's XGBoost screener, which takes as input the signal packet at trade-open time and predicts P(realised_pnl &gt; 0).</w:t>
      </w:r>
    </w:p>
    <w:p>
      <w:pPr>
        <w:spacing w:after="120" w:line="360"/>
        <w:ind w:firstLine="360"/>
        <w:jc w:val="both"/>
      </w:pPr>
      <w:r>
        <w:rPr>
          <w:rFonts w:ascii="Times New Roman" w:cs="Times New Roman" w:eastAsia="Times New Roman" w:hAnsi="Times New Roman"/>
          <w:sz w:val="22"/>
          <w:szCs w:val="22"/>
        </w:rPr>
        <w:t xml:space="preserve">Chen and Guestrin's XGBoost paper [41] documents the gradient-boosted-decision-tree algorithm we use. XGBoost outperforms deep-learning approaches when sample sizes are below approximately 1,000 labels — exactly the regime of a single-desk capstone project. Cold-start bootstrapping of ML models when only a handful of live trades exist is a well-known problem; the standard solution is historical-simulation backfill with the same rule-based engine used in live trading, which is the approach Hedgyyyboo adopts.</w:t>
      </w:r>
    </w:p>
    <w:p>
      <w:pPr>
        <w:spacing w:after="160" w:before="320" w:line="360"/>
        <w:jc w:val="left"/>
      </w:pPr>
      <w:r>
        <w:rPr>
          <w:rFonts w:ascii="Times New Roman" w:cs="Times New Roman" w:eastAsia="Times New Roman" w:hAnsi="Times New Roman"/>
          <w:b/>
          <w:bCs/>
          <w:sz w:val="28"/>
          <w:szCs w:val="28"/>
        </w:rPr>
        <w:t xml:space="preserve">2.8 Summary</w:t>
      </w:r>
    </w:p>
    <w:p>
      <w:pPr>
        <w:spacing w:after="120" w:line="360"/>
        <w:ind w:firstLine="360"/>
        <w:jc w:val="both"/>
      </w:pPr>
      <w:r>
        <w:rPr>
          <w:rFonts w:ascii="Times New Roman" w:cs="Times New Roman" w:eastAsia="Times New Roman" w:hAnsi="Times New Roman"/>
          <w:sz w:val="22"/>
          <w:szCs w:val="22"/>
        </w:rPr>
        <w:t xml:space="preserve">In summary, this chapter reviewed the stochastic-calculus, factor-model, GARCH, LLM-in-finance, marine-AIS, and ML-screener literature that collectively underpins Hedgyyyboo. The next chapter documents how each of these strands is instantiated in code.</w:t>
      </w:r>
    </w:p>
    <w:p>
      <w:pPr>
        <w:pageBreakBefore/>
        <w:spacing w:after="320" w:before="480" w:line="360"/>
        <w:jc w:val="center"/>
      </w:pPr>
      <w:r>
        <w:rPr>
          <w:rFonts w:ascii="Times New Roman" w:cs="Times New Roman" w:eastAsia="Times New Roman" w:hAnsi="Times New Roman"/>
          <w:b/>
          <w:bCs/>
          <w:sz w:val="36"/>
          <w:szCs w:val="36"/>
        </w:rPr>
        <w:t xml:space="preserve">Chapter 3 : Methodology and Implementation</w:t>
      </w:r>
    </w:p>
    <w:p>
      <w:pPr>
        <w:spacing w:after="120" w:line="360"/>
        <w:ind w:firstLine="360"/>
        <w:jc w:val="both"/>
      </w:pPr>
      <w:r>
        <w:rPr>
          <w:rFonts w:ascii="Times New Roman" w:cs="Times New Roman" w:eastAsia="Times New Roman" w:hAnsi="Times New Roman"/>
          <w:sz w:val="22"/>
          <w:szCs w:val="22"/>
        </w:rPr>
        <w:t xml:space="preserve">This chapter details the methodology and implementation of the Hedgyyyboo platform. Section 3.1 presents the system architecture and block diagram. Section 3.2 catalogues hardware and software specifications. Section 3.3 describes each of the seven numerical engines. Section 3.4 covers the autonomous trade engine with market-hours gating and trailing-stop logic. Section 3.5 details the ML screener and historical backfill. Section 3.6 documents the LLM integration and persistent call log. Section 3.7 describes the AISStream marine consumer. Section 3.8 walks the five presentation-layer desks.</w:t>
      </w:r>
    </w:p>
    <w:p>
      <w:pPr>
        <w:spacing w:after="160" w:before="320" w:line="360"/>
        <w:jc w:val="left"/>
      </w:pPr>
      <w:r>
        <w:rPr>
          <w:rFonts w:ascii="Times New Roman" w:cs="Times New Roman" w:eastAsia="Times New Roman" w:hAnsi="Times New Roman"/>
          <w:b/>
          <w:bCs/>
          <w:sz w:val="28"/>
          <w:szCs w:val="28"/>
        </w:rPr>
        <w:t xml:space="preserve">3.1 System Architecture and Block Diagram</w:t>
      </w:r>
    </w:p>
    <w:p>
      <w:pPr>
        <w:spacing w:after="120" w:line="360"/>
        <w:ind w:firstLine="360"/>
        <w:jc w:val="both"/>
      </w:pPr>
      <w:r>
        <w:rPr>
          <w:rFonts w:ascii="Times New Roman" w:cs="Times New Roman" w:eastAsia="Times New Roman" w:hAnsi="Times New Roman"/>
          <w:sz w:val="22"/>
          <w:szCs w:val="22"/>
        </w:rPr>
        <w:t xml:space="preserve">The Hedgyyyboo platform operates through a strict three-tier architecture. An Ingestion Layer acquires data from free public sources. An Analytic Core, itself split into a Numeric Sub-Core and an LLM Sub-Core, transforms raw data into decisions and narrative. A Presentation Layer renders the state to the portfolio manager through a web browser.</w:t>
      </w:r>
    </w:p>
    <w:p>
      <w:pPr>
        <w:spacing w:after="120" w:line="360"/>
        <w:ind w:firstLine="360"/>
        <w:jc w:val="both"/>
      </w:pPr>
      <w:r>
        <w:rPr>
          <w:rFonts w:ascii="Times New Roman" w:cs="Times New Roman" w:eastAsia="Times New Roman" w:hAnsi="Times New Roman"/>
          <w:sz w:val="22"/>
          <w:szCs w:val="22"/>
        </w:rPr>
        <w:t xml:space="preserve">The Ingestion Layer pulls from six external sources. Yahoo Finance supplies intraday and end-of-day prices for every FX pair, equity and yield-curve tenor. The U.S. Treasury publishes its Daily Yield Curve for the eleven benchmark tenors. Google News RSS provides headline aggregation across ten categories. SEC EDGAR exposes a full-text-search API for public-company filings. AISStream's WebSocket stream delivers global AIS position reports in real time. CFTC Commitments-of-Traders, BIS REER and Forex Factory provide secondary macro inputs.</w:t>
      </w:r>
    </w:p>
    <w:p>
      <w:pPr>
        <w:spacing w:after="120" w:line="360"/>
        <w:ind w:firstLine="360"/>
        <w:jc w:val="both"/>
      </w:pPr>
      <w:r>
        <w:rPr>
          <w:rFonts w:ascii="Times New Roman" w:cs="Times New Roman" w:eastAsia="Times New Roman" w:hAnsi="Times New Roman"/>
          <w:sz w:val="22"/>
          <w:szCs w:val="22"/>
        </w:rPr>
        <w:t xml:space="preserve">The Numeric Sub-Core houses seven stochastic and statistical models, each implemented as a pure-Python function with a stable JSON contract. The models are Ornstein–Uhlenbeck maximum-likelihood estimation, the Hurst rescaled-range exponent, GARCH(1,1) conditional variance with parametric Value-at-Risk and Expected Shortfall, Principal Component Analysis of the U.S. Treasury yield curve, Hull–White one-factor swaption pricing, Heston stochastic-volatility Monte-Carlo option pricing, and a small Neural Stochastic Differential Equation prior. The outputs concatenate into a JSON signal packet consumed by both the UI and the LLM.</w:t>
      </w:r>
    </w:p>
    <w:p>
      <w:pPr>
        <w:spacing w:after="120" w:line="360"/>
        <w:ind w:firstLine="360"/>
        <w:jc w:val="both"/>
      </w:pPr>
      <w:r>
        <w:rPr>
          <w:rFonts w:ascii="Times New Roman" w:cs="Times New Roman" w:eastAsia="Times New Roman" w:hAnsi="Times New Roman"/>
          <w:sz w:val="22"/>
          <w:szCs w:val="22"/>
        </w:rPr>
        <w:t xml:space="preserve">The LLM Sub-Core wraps a single OpenRouter HTTPS client. Three system prompts are pre-registered: morning-brief, rates-brief, and autonomous-PM decision. A polite-delay mutex enforces a twelve-second gap between free-tier requests. Every call is wrapped in a statistics recorder that writes prompt, response, token counts, latency and decision to both an in-memory ring buffer and a dedicated SQLite table named llm_call_log.</w:t>
      </w:r>
    </w:p>
    <w:p>
      <w:pPr>
        <w:spacing w:after="120" w:line="360"/>
        <w:ind w:firstLine="360"/>
        <w:jc w:val="both"/>
      </w:pPr>
      <w:r>
        <w:rPr>
          <w:rFonts w:ascii="Times New Roman" w:cs="Times New Roman" w:eastAsia="Times New Roman" w:hAnsi="Times New Roman"/>
          <w:sz w:val="22"/>
          <w:szCs w:val="22"/>
        </w:rPr>
        <w:t xml:space="preserve">The Presentation Layer is a Next.js 16 single-page application serving five desks. The Main dashboard surfaces portfolio summary stat cards, PCA, morning-brief, news feed, watchlist, and a context-aware Ask-PM chatbot. The Fixed-Income desk hosts the yield-curve view, Hull–White swaption pricer, PCA panel and rates brief. The FX Macro desk exposes OU-MLE, Hurst, Neural-SDE, CFTC COT, BIS REER, GDELT and the Forex-Factory calendar alongside the unified trade ledger. The Analytics desk renders the live positions table, realised-equity curve, per-desk PnL breakdown, and XGBoost screener card. The Research desk renders the global maritime map, per-chokepoint ship counts, and the marine-AIS-grounded LLM chatbot. A sixth route, the AI-Models desk, renders LLM call-statistics including request counts, token usage, decision tally, per-endpoint breakdown and a ring buffer of recent call previews.</w:t>
      </w:r>
    </w:p>
    <w:p>
      <w:pPr>
        <w:spacing w:after="120" w:line="360"/>
        <w:ind w:firstLine="360"/>
        <w:jc w:val="both"/>
      </w:pPr>
      <w:r>
        <w:rPr>
          <w:rFonts w:ascii="Times New Roman" w:cs="Times New Roman" w:eastAsia="Times New Roman" w:hAnsi="Times New Roman"/>
          <w:sz w:val="22"/>
          <w:szCs w:val="22"/>
        </w:rPr>
        <w:t xml:space="preserve">All components are orchestrated by FastAPI with APScheduler. Four cron jobs run concurrently: the morning-brief job at 08:00 IST daily, the mark-and-manage-positions job every sixty seconds, the autonomous-PM LLM-decision cycle every sixty seconds, and the XGBoost retrain job every six hours.</w:t>
      </w:r>
    </w:p>
    <w:p>
      <w:pPr>
        <w:spacing w:after="80" w:before="200"/>
        <w:jc w:val="center"/>
      </w:pPr>
      <w:r>
        <w:drawing>
          <wp:inline distT="0" distB="0" distL="0" distR="0">
            <wp:extent cx="4476750" cy="2476500"/>
            <wp:effectExtent t="0" r="0" b="0" l="0"/>
            <wp:docPr id="1" name="figA_arch.png" descr="Hedgyyyboo three-tier system architecture." title="Hedgyyyboo three-ti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1. </w:t>
      </w:r>
      <w:r>
        <w:rPr>
          <w:rFonts w:ascii="Times New Roman" w:cs="Times New Roman" w:eastAsia="Times New Roman" w:hAnsi="Times New Roman"/>
          <w:i/>
          <w:iCs/>
          <w:sz w:val="22"/>
          <w:szCs w:val="22"/>
        </w:rPr>
        <w:t xml:space="preserve">Hedgyyyboo three-tier system architecture.</w:t>
      </w:r>
    </w:p>
    <w:p>
      <w:pPr>
        <w:spacing w:after="160" w:before="320" w:line="360"/>
        <w:jc w:val="left"/>
      </w:pPr>
      <w:r>
        <w:rPr>
          <w:rFonts w:ascii="Times New Roman" w:cs="Times New Roman" w:eastAsia="Times New Roman" w:hAnsi="Times New Roman"/>
          <w:b/>
          <w:bCs/>
          <w:sz w:val="28"/>
          <w:szCs w:val="28"/>
        </w:rPr>
        <w:t xml:space="preserve">3.2 Hardware Components and Specifications</w:t>
      </w:r>
    </w:p>
    <w:p>
      <w:pPr>
        <w:spacing w:after="120" w:line="360"/>
        <w:ind w:firstLine="360"/>
        <w:jc w:val="both"/>
      </w:pPr>
      <w:r>
        <w:rPr>
          <w:rFonts w:ascii="Times New Roman" w:cs="Times New Roman" w:eastAsia="Times New Roman" w:hAnsi="Times New Roman"/>
          <w:sz w:val="22"/>
          <w:szCs w:val="22"/>
        </w:rPr>
        <w:t xml:space="preserve">The hardware infrastructure supporting Hedgyyyboo intentionally avoids any requirement for specialised laboratory or data-centre equipment. The reference development machine is a 2023 Apple MacBook Pro with an Apple Silicon M-series processor, 16 gigabytes of unified memory, and a one-terabyte solid-state drive. An equivalent x86-64 laptop with a quad-core Intel i5 or AMD Ryzen 5 processor at 3.0 GHz or higher, 16 gigabytes of DDR4 RAM, and a modern SSD is sufficient. No dedicated GPU is required because all LLM inference is remote via OpenRouter.</w:t>
      </w:r>
    </w:p>
    <w:p>
      <w:pPr>
        <w:spacing w:after="120" w:line="360"/>
        <w:ind w:firstLine="360"/>
        <w:jc w:val="both"/>
      </w:pPr>
      <w:r>
        <w:rPr>
          <w:rFonts w:ascii="Times New Roman" w:cs="Times New Roman" w:eastAsia="Times New Roman" w:hAnsi="Times New Roman"/>
          <w:sz w:val="22"/>
          <w:szCs w:val="22"/>
        </w:rPr>
        <w:t xml:space="preserve">Market-data ingestion requires only a broadband Internet connection at 25 Mbps or higher. The AISStream WebSocket consumer has been measured at approximately 3-4 messages per second on the global bounding box, which corresponds to roughly 250 kilobytes per second of sustained bandwidth. Yahoo Finance HTTP calls complete in 200-500 milliseconds per symbol. The OpenRouter Gemma-3n free tier responds in 5-8 seconds per completion. None of these loads stresses a modern consumer connection.</w:t>
      </w:r>
    </w:p>
    <w:p>
      <w:pPr>
        <w:spacing w:after="120" w:line="360"/>
        <w:ind w:firstLine="360"/>
        <w:jc w:val="both"/>
      </w:pPr>
      <w:r>
        <w:rPr>
          <w:rFonts w:ascii="Times New Roman" w:cs="Times New Roman" w:eastAsia="Times New Roman" w:hAnsi="Times New Roman"/>
          <w:sz w:val="22"/>
          <w:szCs w:val="22"/>
        </w:rPr>
        <w:t xml:space="preserve">Display hardware requirements are similarly modest. The three-column dashboard layout is optimised for 1920×1080 displays and scales down cleanly to 1366×768 laptop screens. A secondary monitor can host the Research page for side-by-side viewing during active research sessions. Audio output is optional — no component requires it.</w:t>
      </w:r>
    </w:p>
    <w:p>
      <w:pPr>
        <w:spacing w:after="120" w:line="360"/>
        <w:ind w:firstLine="360"/>
        <w:jc w:val="both"/>
      </w:pPr>
      <w:r>
        <w:rPr>
          <w:rFonts w:ascii="Times New Roman" w:cs="Times New Roman" w:eastAsia="Times New Roman" w:hAnsi="Times New Roman"/>
          <w:sz w:val="22"/>
          <w:szCs w:val="22"/>
        </w:rPr>
        <w:t xml:space="preserve">Local-storage requirements for the SQLite database grow slowly. After running the platform continuously for seventeen weeks with the 60-second auto-PM cron, the consolidated database — paper_trades, historical_samples, fx_paper_trades, llm_call_log — measured approximately 15 megabytes. Optional cloud backup of the database through any free-tier object store (S3, Google Cloud Storage) is supported through a single nightly rsync, though this has not been enabled in the reference deployment.</w:t>
      </w:r>
    </w:p>
    <w:p>
      <w:pPr>
        <w:spacing w:after="160" w:before="320" w:line="360"/>
        <w:jc w:val="left"/>
      </w:pPr>
      <w:r>
        <w:rPr>
          <w:rFonts w:ascii="Times New Roman" w:cs="Times New Roman" w:eastAsia="Times New Roman" w:hAnsi="Times New Roman"/>
          <w:b/>
          <w:bCs/>
          <w:sz w:val="28"/>
          <w:szCs w:val="28"/>
        </w:rPr>
        <w:t xml:space="preserve">3.3 The Seven Numerical Engines</w:t>
      </w:r>
    </w:p>
    <w:p>
      <w:pPr>
        <w:spacing w:after="120" w:line="360"/>
        <w:ind w:firstLine="360"/>
        <w:jc w:val="both"/>
      </w:pPr>
      <w:r>
        <w:rPr>
          <w:rFonts w:ascii="Times New Roman" w:cs="Times New Roman" w:eastAsia="Times New Roman" w:hAnsi="Times New Roman"/>
          <w:sz w:val="22"/>
          <w:szCs w:val="22"/>
        </w:rPr>
        <w:t xml:space="preserve">The Numeric Sub-Core contains seven engines. We describe each in turn with its defining equation and the role it plays in the signal packet.</w:t>
      </w:r>
    </w:p>
    <w:p>
      <w:pPr>
        <w:spacing w:after="120" w:line="360"/>
        <w:ind w:firstLine="360"/>
        <w:jc w:val="both"/>
      </w:pPr>
      <w:r>
        <w:rPr>
          <w:rFonts w:ascii="Times New Roman" w:cs="Times New Roman" w:eastAsia="Times New Roman" w:hAnsi="Times New Roman"/>
          <w:sz w:val="22"/>
          <w:szCs w:val="22"/>
        </w:rPr>
        <w:t xml:space="preserve">The Ornstein–Uhlenbeck maximum-likelihood estimator models the log-FX-price as a Gaussian mean-reverting diffusion with speed κ, long-run mean θ and noise σ. Discretisation at step Δt produces an AR(1) form X_{t+Δt} = a + bX_t + ε_t, from which κ̂ = −log(b̂)/Δt and the half-life τ̂_½ = ln 2 / κ̂ are recovered. An Augmented Dickey-Fuller t-statistic of less than −2.89 indicates statistical significance at 5%.</w:t>
      </w:r>
    </w:p>
    <w:p>
      <w:pPr>
        <w:spacing w:after="120" w:line="360"/>
        <w:ind w:firstLine="360"/>
        <w:jc w:val="both"/>
      </w:pPr>
      <w:r>
        <w:rPr>
          <w:rFonts w:ascii="Times New Roman" w:cs="Times New Roman" w:eastAsia="Times New Roman" w:hAnsi="Times New Roman"/>
          <w:sz w:val="22"/>
          <w:szCs w:val="22"/>
        </w:rPr>
        <w:t xml:space="preserve">The Hurst rescaled-range estimator computes H from the slope of log(R/S) versus log(n) for block sizes n ∈ {8, 16, 32, 64}. H below 0.45 indicates mean-reversion, H above 0.55 indicates trending, H near 0.5 indicates a random walk. The Hurst regime label is used as a cross-check on the OU-MLE direction: we only open mean-reversion trades on FX pairs where both the OU half-life is meaningful and the Hurst regime is MEAN_REVERTING.</w:t>
      </w:r>
    </w:p>
    <w:p>
      <w:pPr>
        <w:spacing w:after="120" w:line="360"/>
        <w:ind w:firstLine="360"/>
        <w:jc w:val="both"/>
      </w:pPr>
      <w:r>
        <w:rPr>
          <w:rFonts w:ascii="Times New Roman" w:cs="Times New Roman" w:eastAsia="Times New Roman" w:hAnsi="Times New Roman"/>
          <w:sz w:val="22"/>
          <w:szCs w:val="22"/>
        </w:rPr>
        <w:t xml:space="preserve">GARCH(1,1) fits the conditional variance σ_t² = ω + α·ε_{t−1}² + β·σ_{t−1}² using maximum likelihood via the arch package. The implementation returns the three fitted parameters, their sum (the persistence), the one-day-ahead volatility forecast, and parametric one-percent Value-at-Risk and Expected Shortfall computed against a Gaussian quantile.</w:t>
      </w:r>
    </w:p>
    <w:p>
      <w:pPr>
        <w:spacing w:after="120" w:line="360"/>
        <w:ind w:firstLine="360"/>
        <w:jc w:val="both"/>
      </w:pPr>
      <w:r>
        <w:rPr>
          <w:rFonts w:ascii="Times New Roman" w:cs="Times New Roman" w:eastAsia="Times New Roman" w:hAnsi="Times New Roman"/>
          <w:sz w:val="22"/>
          <w:szCs w:val="22"/>
        </w:rPr>
        <w:t xml:space="preserve">Principal Component Analysis of the daily changes of the eleven-tenor U.S. Treasury yield curve produces the Level, Slope and Curvature factors that explain approximately 98.7% of variance. The implementation uses scikit-learn's PCA with no pre-whitening; daily PC scores are exposed through the /api/analysis/pca endpoint.</w:t>
      </w:r>
    </w:p>
    <w:p>
      <w:pPr>
        <w:spacing w:after="120" w:line="360"/>
        <w:ind w:firstLine="360"/>
        <w:jc w:val="both"/>
      </w:pPr>
      <w:r>
        <w:rPr>
          <w:rFonts w:ascii="Times New Roman" w:cs="Times New Roman" w:eastAsia="Times New Roman" w:hAnsi="Times New Roman"/>
          <w:sz w:val="22"/>
          <w:szCs w:val="22"/>
        </w:rPr>
        <w:t xml:space="preserve">The Hull–White one-factor short-rate model dr_t = [θ(t) − a·r_t]dt + σ dW_t admits an affine zero-coupon-bond pricing formula P(t,T) = A(t,T)·exp(−B(t,T)·r_t). A European payer swaption decomposes via Jamshidian into a strip of zero-bond put options each priced via the Gaussian CDF. The desk uses this for the 1×5, 5×5 and 10×10 swaption calibration pillars.</w:t>
      </w:r>
    </w:p>
    <w:p>
      <w:pPr>
        <w:spacing w:after="120" w:line="360"/>
        <w:ind w:firstLine="360"/>
        <w:jc w:val="both"/>
      </w:pPr>
      <w:r>
        <w:rPr>
          <w:rFonts w:ascii="Times New Roman" w:cs="Times New Roman" w:eastAsia="Times New Roman" w:hAnsi="Times New Roman"/>
          <w:sz w:val="22"/>
          <w:szCs w:val="22"/>
        </w:rPr>
        <w:t xml:space="preserve">The Heston stochastic-volatility model is discretised with the Andersen quadratic-exponential scheme at N = 100,000 paths. The implementation is robust against violation of the Feller condition which commonly arises in equity-index calibrations.</w:t>
      </w:r>
    </w:p>
    <w:p>
      <w:pPr>
        <w:spacing w:after="120" w:line="360"/>
        <w:ind w:firstLine="360"/>
        <w:jc w:val="both"/>
      </w:pPr>
      <w:r>
        <w:rPr>
          <w:rFonts w:ascii="Times New Roman" w:cs="Times New Roman" w:eastAsia="Times New Roman" w:hAnsi="Times New Roman"/>
          <w:sz w:val="22"/>
          <w:szCs w:val="22"/>
        </w:rPr>
        <w:t xml:space="preserve">The Neural Stochastic Differential Equation module is a tiny two-hidden-layer multilayer perceptron (32 units each) that learns drift and diffusion from historical returns. Trained offline, online inference costs under five milliseconds. Its role in Hedgyyyboo is as a deterministic LLM-free sanity check: if Gemma recommends a LONG but the Neural-SDE drift is negative, the UI flags the divergence.</w:t>
      </w:r>
    </w:p>
    <w:p>
      <w:pPr>
        <w:spacing w:after="160" w:before="320" w:line="360"/>
        <w:jc w:val="left"/>
      </w:pPr>
      <w:r>
        <w:rPr>
          <w:rFonts w:ascii="Times New Roman" w:cs="Times New Roman" w:eastAsia="Times New Roman" w:hAnsi="Times New Roman"/>
          <w:b/>
          <w:bCs/>
          <w:sz w:val="28"/>
          <w:szCs w:val="28"/>
        </w:rPr>
        <w:t xml:space="preserve">3.4 Autonomous Trade Engine</w:t>
      </w:r>
    </w:p>
    <w:p>
      <w:pPr>
        <w:spacing w:after="120" w:line="360"/>
        <w:ind w:firstLine="360"/>
        <w:jc w:val="both"/>
      </w:pPr>
      <w:r>
        <w:rPr>
          <w:rFonts w:ascii="Times New Roman" w:cs="Times New Roman" w:eastAsia="Times New Roman" w:hAnsi="Times New Roman"/>
          <w:sz w:val="22"/>
          <w:szCs w:val="22"/>
        </w:rPr>
        <w:t xml:space="preserve">The trade engine is the operational heart of the platform. It combines four components: a unified SQLite-backed paper-trades ledger, a market-hours gating module, a sixty-second auto-PM cycle, and a mark-and-manage cycle that applies four classes of close rules.</w:t>
      </w:r>
    </w:p>
    <w:p>
      <w:pPr>
        <w:spacing w:after="120" w:line="360"/>
        <w:ind w:firstLine="360"/>
        <w:jc w:val="both"/>
      </w:pPr>
      <w:r>
        <w:rPr>
          <w:rFonts w:ascii="Times New Roman" w:cs="Times New Roman" w:eastAsia="Times New Roman" w:hAnsi="Times New Roman"/>
          <w:sz w:val="22"/>
          <w:szCs w:val="22"/>
        </w:rPr>
        <w:t xml:space="preserve">The ledger stores every trade with its desk, symbol, direction, notional, entry and current prices, realised and unrealised PnL, opening rationale, close reason, and a JSON meta blob that persists the opening signal packet, live-price-at-decision, LLM confidence, LLM-suggested stop and take-profit levels, and ML probability scores for both LONG and SHORT directions. Every trade is therefore fully auditable after the fact: an examiner can reconstruct exactly what the platform knew at the moment of opening.</w:t>
      </w:r>
    </w:p>
    <w:p>
      <w:pPr>
        <w:spacing w:after="120" w:line="360"/>
        <w:ind w:firstLine="360"/>
        <w:jc w:val="both"/>
      </w:pPr>
      <w:r>
        <w:rPr>
          <w:rFonts w:ascii="Times New Roman" w:cs="Times New Roman" w:eastAsia="Times New Roman" w:hAnsi="Times New Roman"/>
          <w:sz w:val="22"/>
          <w:szCs w:val="22"/>
        </w:rPr>
        <w:t xml:space="preserve">Market-hours gating prevents the platform from trading during off-hours. FX is open Sunday 17:00 ET through Friday 17:00 ET (twenty-four-hour five-day continuous). Equities follow the NYSE regular session, Monday through Friday 09:30–16:00 ET. U.S. Treasury cash follows 08:00–17:00 ET. The auto-PM cycle consults the market-hours module before picking a candidate symbol and refuses to open positions on closed desks. This eliminates the failure mode where yfinance keeps returning stale last-close prices during off-hours and the platform opens positions on dead tape.</w:t>
      </w:r>
    </w:p>
    <w:p>
      <w:pPr>
        <w:spacing w:after="120" w:line="360"/>
        <w:ind w:firstLine="360"/>
        <w:jc w:val="both"/>
      </w:pPr>
      <w:r>
        <w:rPr>
          <w:rFonts w:ascii="Times New Roman" w:cs="Times New Roman" w:eastAsia="Times New Roman" w:hAnsi="Times New Roman"/>
          <w:sz w:val="22"/>
          <w:szCs w:val="22"/>
        </w:rPr>
        <w:t xml:space="preserve">The auto-PM cycle fires every sixty seconds. It executes the following sequence: read the open positions count (skip if at the concentration cap of ten), enumerate open desks, pick an un-held symbol from the union of FX, equity and rates watchlists, fetch a fresh price with a twenty-minute staleness gate, build a full signal packet, score it through the ML screener (advisory only, not a gate), call Gemma-3n with a structured-JSON prompt demanding {action, confidence, entry_price, stop_loss, take_profit, rationale}, parse the response, and if the action is BUY or SELL, insert a trade row. The LLM's suggested entry price is honoured only if within 0.5% of the live price.</w:t>
      </w:r>
    </w:p>
    <w:p>
      <w:pPr>
        <w:spacing w:after="120" w:line="360"/>
        <w:ind w:firstLine="360"/>
        <w:jc w:val="both"/>
      </w:pPr>
      <w:r>
        <w:rPr>
          <w:rFonts w:ascii="Times New Roman" w:cs="Times New Roman" w:eastAsia="Times New Roman" w:hAnsi="Times New Roman"/>
          <w:sz w:val="22"/>
          <w:szCs w:val="22"/>
        </w:rPr>
        <w:t xml:space="preserve">The mark-and-manage cycle also fires every sixty seconds. For every open position it fetches the latest yfinance close, writes current_price and the recomputed pnl_pct and pnl_usd to the ledger, tracks the running peak_pnl_pct for trailing-stop evaluation, then applies four rule classes in priority order. Hard stop-loss fires if the PnL is at or below the desk-level floor (−2% FX, −4% equity, −1% rates). Hard take-profit fires at the desk-level ceiling (+1.5% FX, +5% equity, +0.75% rates). The trailing stop fires once the peak exceeds a desk activation threshold and the current PnL has slipped a trail distance below that peak. The time stop fires either at the desk max-hold-days or after one day of PnL below 0.3%.</w:t>
      </w:r>
    </w:p>
    <w:p>
      <w:pPr>
        <w:spacing w:after="120" w:line="360"/>
        <w:ind w:firstLine="360"/>
        <w:jc w:val="both"/>
      </w:pPr>
      <w:r>
        <w:rPr>
          <w:rFonts w:ascii="Times New Roman" w:cs="Times New Roman" w:eastAsia="Times New Roman" w:hAnsi="Times New Roman"/>
          <w:sz w:val="22"/>
          <w:szCs w:val="22"/>
        </w:rPr>
        <w:t xml:space="preserve">A critical correctness detail: for the RATES desk, PnL is computed with the sign inverted because yfinance quotes yields rather than bond prices, and being LONG a bond is equivalent to being SHORT its yield. The _compute_pnl function takes an optional desk argument and applies the inversion transparently. Trailing-stop and take-profit evaluation automatically respects this convention.</w:t>
      </w:r>
    </w:p>
    <w:p>
      <w:pPr>
        <w:spacing w:after="80" w:before="200"/>
        <w:jc w:val="center"/>
      </w:pPr>
      <w:r>
        <w:drawing>
          <wp:inline distT="0" distB="0" distL="0" distR="0">
            <wp:extent cx="4476750" cy="2476500"/>
            <wp:effectExtent t="0" r="0" b="0" l="0"/>
            <wp:docPr id="1" name="fig9_garch.png" descr="GARCH(1,1) conditional-volatility forecast on an S&amp;P 500 proxy." title="GARCH(1,1) conditional-volatility forecast on an S&amp;P 500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2. </w:t>
      </w:r>
      <w:r>
        <w:rPr>
          <w:rFonts w:ascii="Times New Roman" w:cs="Times New Roman" w:eastAsia="Times New Roman" w:hAnsi="Times New Roman"/>
          <w:i/>
          <w:iCs/>
          <w:sz w:val="22"/>
          <w:szCs w:val="22"/>
        </w:rPr>
        <w:t xml:space="preserve">GARCH(1,1) conditional-volatility forecast on an S&amp;P 500 proxy.</w:t>
      </w:r>
    </w:p>
    <w:p>
      <w:pPr>
        <w:spacing w:after="160" w:before="320" w:line="360"/>
        <w:jc w:val="left"/>
      </w:pPr>
      <w:r>
        <w:rPr>
          <w:rFonts w:ascii="Times New Roman" w:cs="Times New Roman" w:eastAsia="Times New Roman" w:hAnsi="Times New Roman"/>
          <w:b/>
          <w:bCs/>
          <w:sz w:val="28"/>
          <w:szCs w:val="28"/>
        </w:rPr>
        <w:t xml:space="preserve">3.5 ML Screener and Historical Backfill</w:t>
      </w:r>
    </w:p>
    <w:p>
      <w:pPr>
        <w:spacing w:after="120" w:line="360"/>
        <w:ind w:firstLine="360"/>
        <w:jc w:val="both"/>
      </w:pPr>
      <w:r>
        <w:rPr>
          <w:rFonts w:ascii="Times New Roman" w:cs="Times New Roman" w:eastAsia="Times New Roman" w:hAnsi="Times New Roman"/>
          <w:sz w:val="22"/>
          <w:szCs w:val="22"/>
        </w:rPr>
        <w:t xml:space="preserve">The XGBoost trade-screener is a research artefact, not a live-trading gate. Its role in the platform is threefold: provide an additional data point for post-hoc trade analysis, be available for out-of-band use (research notebooks, publication), and validate whether the platform's signal packets actually predict win probability.</w:t>
      </w:r>
    </w:p>
    <w:p>
      <w:pPr>
        <w:spacing w:after="120" w:line="360"/>
        <w:ind w:firstLine="360"/>
        <w:jc w:val="both"/>
      </w:pPr>
      <w:r>
        <w:rPr>
          <w:rFonts w:ascii="Times New Roman" w:cs="Times New Roman" w:eastAsia="Times New Roman" w:hAnsi="Times New Roman"/>
          <w:sz w:val="22"/>
          <w:szCs w:val="22"/>
        </w:rPr>
        <w:t xml:space="preserve">The screener extracts a twenty-six-feature vector from every signal packet. The features are five price-block statistics (1-day, 5-day and 20-day returns, 52-week range position, 20-day annualised realised volatility), seven OU MLE outputs (κ, θ, σ, half-life, t-statistic, current deviation in σ, the is-mean-reverting flag), two Hurst outputs (the exponent itself and a one-hot for trending regime), five GARCH outputs (α, β, persistence, forecast volatility, 1% VaR), three rates-specific outputs (10y-3m and 10y-5y slopes plus the curvature proxy, all in basis points), three desk one-hots, and the trade direction.</w:t>
      </w:r>
    </w:p>
    <w:p>
      <w:pPr>
        <w:spacing w:after="120" w:line="360"/>
        <w:ind w:firstLine="360"/>
        <w:jc w:val="both"/>
      </w:pPr>
      <w:r>
        <w:rPr>
          <w:rFonts w:ascii="Times New Roman" w:cs="Times New Roman" w:eastAsia="Times New Roman" w:hAnsi="Times New Roman"/>
          <w:sz w:val="22"/>
          <w:szCs w:val="22"/>
        </w:rPr>
        <w:t xml:space="preserve">A hard floor of fifty closed trades is required before training commences. Below this threshold the model remains unavailable and the UI shows "collecting data N / 50". Training uses a chronological 80/20 train/validation split, 120 estimators, max depth 3, learning rate 0.06, subsample 0.85, and colsample 0.85. The scikit-learn metrics roc_auc_score and accuracy_score report the validation-set AUC and accuracy. A JSON status artefact persists the sample size, training timestamp, validation AUC, validation accuracy, training accuracy, and top-five feature importances.</w:t>
      </w:r>
    </w:p>
    <w:p>
      <w:pPr>
        <w:spacing w:after="120" w:line="360"/>
        <w:ind w:firstLine="360"/>
        <w:jc w:val="both"/>
      </w:pPr>
      <w:r>
        <w:rPr>
          <w:rFonts w:ascii="Times New Roman" w:cs="Times New Roman" w:eastAsia="Times New Roman" w:hAnsi="Times New Roman"/>
          <w:sz w:val="22"/>
          <w:szCs w:val="22"/>
        </w:rPr>
        <w:t xml:space="preserve">The central challenge is the cold-start problem: a newly-deployed platform has zero closed trades. The solution is a historical-simulation backfill that walks two years of daily OHLC data for every watchlist symbol, computes the signal packet at each day using only the prior 252 days (no look-ahead), hypothetically opens both LONG and SHORT at the next day's close, simulates forward up to thirty days with the same close rules the live engine uses, and labels each outcome. This bootstrap produces approximately 5,000 synthetic training rows per full backfill run.</w:t>
      </w:r>
    </w:p>
    <w:p>
      <w:pPr>
        <w:spacing w:after="120" w:line="360"/>
        <w:ind w:firstLine="360"/>
        <w:jc w:val="both"/>
      </w:pPr>
      <w:r>
        <w:rPr>
          <w:rFonts w:ascii="Times New Roman" w:cs="Times New Roman" w:eastAsia="Times New Roman" w:hAnsi="Times New Roman"/>
          <w:sz w:val="22"/>
          <w:szCs w:val="22"/>
        </w:rPr>
        <w:t xml:space="preserve">Three quality improvements are applied in the backfill relative to a naïve close-only simulation. OHLC-based stop detection uses each day's high and low to detect intraday stop hits, which removes the optimistic bias where a day that dipped to −5% intraday but closed at −1% would otherwise be labelled a time-stop rather than a stop-loss. A round-trip transaction-cost haircut of 2 basis points for FX and equity and 1 basis point for rates is subtracted from every simulated PnL before labelling, removing the ~30% of "wins" that were actually within bid-ask spread. Duration-weighted rates PnL multiplies yield moves by modified-duration proxies (UST5Y 4.5, UST10Y 8.5, UST30Y 18.0) so that the classifier learns plausible rate dynamics rather than treating yields as prices.</w:t>
      </w:r>
    </w:p>
    <w:p>
      <w:pPr>
        <w:spacing w:after="120" w:line="360"/>
        <w:ind w:firstLine="360"/>
        <w:jc w:val="both"/>
      </w:pPr>
      <w:r>
        <w:rPr>
          <w:rFonts w:ascii="Times New Roman" w:cs="Times New Roman" w:eastAsia="Times New Roman" w:hAnsi="Times New Roman"/>
          <w:sz w:val="22"/>
          <w:szCs w:val="22"/>
        </w:rPr>
        <w:t xml:space="preserve">The backfill is also hardened against Python process crashes. GARCH is skipped during the walk because the arch C++ extension segfaults on degenerate low-variance windows. Every per-symbol walk is wrapped in a try/except with gc.collect() on the finally branch. Every per-window iteration is independently wrapped. Database writes occur per-symbol rather than at the end, so a mid-run failure never loses accumulated progress.</w:t>
      </w:r>
    </w:p>
    <w:p>
      <w:pPr>
        <w:spacing w:after="80" w:before="200"/>
        <w:jc w:val="center"/>
      </w:pPr>
      <w:r>
        <w:drawing>
          <wp:inline distT="0" distB="0" distL="0" distR="0">
            <wp:extent cx="4476750" cy="2476500"/>
            <wp:effectExtent t="0" r="0" b="0" l="0"/>
            <wp:docPr id="1" name="figH_ml_features.png" descr="XGBoost screener — top 10 features by importance." title="XGBoost screener — top 10 features by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3. </w:t>
      </w:r>
      <w:r>
        <w:rPr>
          <w:rFonts w:ascii="Times New Roman" w:cs="Times New Roman" w:eastAsia="Times New Roman" w:hAnsi="Times New Roman"/>
          <w:i/>
          <w:iCs/>
          <w:sz w:val="22"/>
          <w:szCs w:val="22"/>
        </w:rPr>
        <w:t xml:space="preserve">XGBoost screener — top 10 features by importance.</w:t>
      </w:r>
    </w:p>
    <w:p>
      <w:pPr>
        <w:spacing w:after="160" w:before="320" w:line="360"/>
        <w:jc w:val="left"/>
      </w:pPr>
      <w:r>
        <w:rPr>
          <w:rFonts w:ascii="Times New Roman" w:cs="Times New Roman" w:eastAsia="Times New Roman" w:hAnsi="Times New Roman"/>
          <w:b/>
          <w:bCs/>
          <w:sz w:val="28"/>
          <w:szCs w:val="28"/>
        </w:rPr>
        <w:t xml:space="preserve">3.6 LLM Integration and Persistent Call Log</w:t>
      </w:r>
    </w:p>
    <w:p>
      <w:pPr>
        <w:spacing w:after="120" w:line="360"/>
        <w:ind w:firstLine="360"/>
        <w:jc w:val="both"/>
      </w:pPr>
      <w:r>
        <w:rPr>
          <w:rFonts w:ascii="Times New Roman" w:cs="Times New Roman" w:eastAsia="Times New Roman" w:hAnsi="Times New Roman"/>
          <w:sz w:val="22"/>
          <w:szCs w:val="22"/>
        </w:rPr>
        <w:t xml:space="preserve">All LLM calls flow through a single module, app/llm_stats.py, which wraps three responsibilities: an in-memory counter, a ring buffer of the last eighty calls with prompt and response previews, and a SQLAlchemy persistence layer that writes every call to the dedicated llm_call_log table in SQLite.</w:t>
      </w:r>
    </w:p>
    <w:p>
      <w:pPr>
        <w:spacing w:after="120" w:line="360"/>
        <w:ind w:firstLine="360"/>
        <w:jc w:val="both"/>
      </w:pPr>
      <w:r>
        <w:rPr>
          <w:rFonts w:ascii="Times New Roman" w:cs="Times New Roman" w:eastAsia="Times New Roman" w:hAnsi="Times New Roman"/>
          <w:sz w:val="22"/>
          <w:szCs w:val="22"/>
        </w:rPr>
        <w:t xml:space="preserve">The counter tracks five aggregate dimensions: total requests, success and failure counts, prompt and completion token counts, total latency in milliseconds, and a decision tally (BUY, SELL, HOLD, OTHER) populated from the structured auto-PM responses. Per-endpoint aggregates expose the same metrics grouped by the calling code path (rag_brain, auto_pm, ai_brief, etc.).</w:t>
      </w:r>
    </w:p>
    <w:p>
      <w:pPr>
        <w:spacing w:after="120" w:line="360"/>
        <w:ind w:firstLine="360"/>
        <w:jc w:val="both"/>
      </w:pPr>
      <w:r>
        <w:rPr>
          <w:rFonts w:ascii="Times New Roman" w:cs="Times New Roman" w:eastAsia="Times New Roman" w:hAnsi="Times New Roman"/>
          <w:sz w:val="22"/>
          <w:szCs w:val="22"/>
        </w:rPr>
        <w:t xml:space="preserve">The llm_call_log table schema stores thirteen columns per call: the call ID, timestamp, endpoint label, model name, success flag, HTTP status code, latency in milliseconds, prompt and completion token counts, parsed decision, a 800-character prompt preview, an 800-character response preview, and a 400-character error message for failed calls. On every backend restart, the rehydrate_from_db function replays the most recent 500 rows into the in-memory counter and ring buffer so that the AI-Models dashboard retains its history across process lifetimes.</w:t>
      </w:r>
    </w:p>
    <w:p>
      <w:pPr>
        <w:spacing w:after="120" w:line="360"/>
        <w:ind w:firstLine="360"/>
        <w:jc w:val="both"/>
      </w:pPr>
      <w:r>
        <w:rPr>
          <w:rFonts w:ascii="Times New Roman" w:cs="Times New Roman" w:eastAsia="Times New Roman" w:hAnsi="Times New Roman"/>
          <w:sz w:val="22"/>
          <w:szCs w:val="22"/>
        </w:rPr>
        <w:t xml:space="preserve">The wrapping pattern is symmetric across all LLM-calling sites. Every site computes its prompt, measures the round-trip latency with a StatsTimer context manager, records the call through llm_stats.record(), and returns the parsed response. Failure branches record the exception message and propagate a fallback value. This symmetry ensures the counter never drifts from the actual API behaviour and that the AI-Models dashboard provides a genuine rather than approximate view of platform activity.</w:t>
      </w:r>
    </w:p>
    <w:p>
      <w:pPr>
        <w:spacing w:after="160" w:before="320" w:line="360"/>
        <w:jc w:val="left"/>
      </w:pPr>
      <w:r>
        <w:rPr>
          <w:rFonts w:ascii="Times New Roman" w:cs="Times New Roman" w:eastAsia="Times New Roman" w:hAnsi="Times New Roman"/>
          <w:b/>
          <w:bCs/>
          <w:sz w:val="28"/>
          <w:szCs w:val="28"/>
        </w:rPr>
        <w:t xml:space="preserve">3.7 AISStream Marine Consumer</w:t>
      </w:r>
    </w:p>
    <w:p>
      <w:pPr>
        <w:spacing w:after="120" w:line="360"/>
        <w:ind w:firstLine="360"/>
        <w:jc w:val="both"/>
      </w:pPr>
      <w:r>
        <w:rPr>
          <w:rFonts w:ascii="Times New Roman" w:cs="Times New Roman" w:eastAsia="Times New Roman" w:hAnsi="Times New Roman"/>
          <w:sz w:val="22"/>
          <w:szCs w:val="22"/>
        </w:rPr>
        <w:t xml:space="preserve">The marine-traffic consumer maintains an in-memory registry of every MMSI (Maritime Mobile Service Identity) seen in the last sixty minutes. A background asyncio task connects to wss://stream.aisstream.io/v0/stream and sends a subscription message containing the API key, a global bounding box covering the entire ocean, and a filter limiting the feed to PositionReport and ShipStaticData message types. The ShipStaticData messages provide ship names, types, call signs and destinations; the PositionReport messages provide latitude, longitude, course and speed.</w:t>
      </w:r>
    </w:p>
    <w:p>
      <w:pPr>
        <w:spacing w:after="120" w:line="360"/>
        <w:ind w:firstLine="360"/>
        <w:jc w:val="both"/>
      </w:pPr>
      <w:r>
        <w:rPr>
          <w:rFonts w:ascii="Times New Roman" w:cs="Times New Roman" w:eastAsia="Times New Roman" w:hAnsi="Times New Roman"/>
          <w:sz w:val="22"/>
          <w:szCs w:val="22"/>
        </w:rPr>
        <w:t xml:space="preserve">The registry is updated under an asyncio lock. A concurrent prune loop runs every minute and drops ships whose last position report is older than the configured freshness cutoff (60 minutes). A reconnect loop with exponential backoff (2s, 4s, 8s, … capped at 60s) handles dropped WebSocket connections transparently.</w:t>
      </w:r>
    </w:p>
    <w:p>
      <w:pPr>
        <w:spacing w:after="120" w:line="360"/>
        <w:ind w:firstLine="360"/>
        <w:jc w:val="both"/>
      </w:pPr>
      <w:r>
        <w:rPr>
          <w:rFonts w:ascii="Times New Roman" w:cs="Times New Roman" w:eastAsia="Times New Roman" w:hAnsi="Times New Roman"/>
          <w:sz w:val="22"/>
          <w:szCs w:val="22"/>
        </w:rPr>
        <w:t xml:space="preserve">Eight maritime chokepoints are defined with rectangular bounding boxes: the Strait of Hormuz, the Suez Canal, the Panama Canal, the Strait of Malacca, the Singapore Strait, the English Channel at Dover, the Port of Rotterdam, and the Bosporus. The /api/research/chokepoints endpoint iterates the registry and counts ships falling inside each box, returning per-zone counts, sample ship names, and a short description of the zone's macroeconomic significance.</w:t>
      </w:r>
    </w:p>
    <w:p>
      <w:pPr>
        <w:spacing w:after="120" w:line="360"/>
        <w:ind w:firstLine="360"/>
        <w:jc w:val="both"/>
      </w:pPr>
      <w:r>
        <w:rPr>
          <w:rFonts w:ascii="Times New Roman" w:cs="Times New Roman" w:eastAsia="Times New Roman" w:hAnsi="Times New Roman"/>
          <w:sz w:val="22"/>
          <w:szCs w:val="22"/>
        </w:rPr>
        <w:t xml:space="preserve">Empirical measurements confirm the feed is operational at institutional cadence. Within 30 seconds of backend startup the registry typically holds 3,000 ships. Within 60 seconds it exceeds 15,000. Rotterdam alone typically counts 700-2,000 ships in its bounding box, reflecting its position as Europe's largest container and crude port.</w:t>
      </w:r>
    </w:p>
    <w:p>
      <w:pPr>
        <w:spacing w:after="80" w:before="200"/>
        <w:jc w:val="center"/>
      </w:pPr>
      <w:r>
        <w:drawing>
          <wp:inline distT="0" distB="0" distL="0" distR="0">
            <wp:extent cx="4476750" cy="2476500"/>
            <wp:effectExtent t="0" r="0" b="0" l="0"/>
            <wp:docPr id="1" name="figG_ais.png" descr="AIS live chokepoint ship counts (measured at 60 s runtime)." title="AIS live chokepoint ship counts (measured at 60 s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4. </w:t>
      </w:r>
      <w:r>
        <w:rPr>
          <w:rFonts w:ascii="Times New Roman" w:cs="Times New Roman" w:eastAsia="Times New Roman" w:hAnsi="Times New Roman"/>
          <w:i/>
          <w:iCs/>
          <w:sz w:val="22"/>
          <w:szCs w:val="22"/>
        </w:rPr>
        <w:t xml:space="preserve">AIS live chokepoint ship counts (measured at 60 s runtime).</w:t>
      </w:r>
    </w:p>
    <w:p>
      <w:pPr>
        <w:spacing w:after="160" w:before="320" w:line="360"/>
        <w:jc w:val="left"/>
      </w:pPr>
      <w:r>
        <w:rPr>
          <w:rFonts w:ascii="Times New Roman" w:cs="Times New Roman" w:eastAsia="Times New Roman" w:hAnsi="Times New Roman"/>
          <w:b/>
          <w:bCs/>
          <w:sz w:val="28"/>
          <w:szCs w:val="28"/>
        </w:rPr>
        <w:t xml:space="preserve">3.8 Presentation Layer — Five Desks</w:t>
      </w:r>
    </w:p>
    <w:p>
      <w:pPr>
        <w:spacing w:after="120" w:line="360"/>
        <w:ind w:firstLine="360"/>
        <w:jc w:val="both"/>
      </w:pPr>
      <w:r>
        <w:rPr>
          <w:rFonts w:ascii="Times New Roman" w:cs="Times New Roman" w:eastAsia="Times New Roman" w:hAnsi="Times New Roman"/>
          <w:sz w:val="22"/>
          <w:szCs w:val="22"/>
        </w:rPr>
        <w:t xml:space="preserve">The Next.js 16 front-end renders five desks. The Main dashboard presents portfolio summary stat cards (AUM, open positions, risk score, alpha, VIX, realised Sharpe), a PCA factor chart, a morning-brief panel backed by Gemma-3n, a news feed, a watchlist, and a context-aware Ask-PM chatbot. Stat cards refresh every thirty seconds by polling /api/portfolio/summary.</w:t>
      </w:r>
    </w:p>
    <w:p>
      <w:pPr>
        <w:spacing w:after="120" w:line="360"/>
        <w:ind w:firstLine="360"/>
        <w:jc w:val="both"/>
      </w:pPr>
      <w:r>
        <w:rPr>
          <w:rFonts w:ascii="Times New Roman" w:cs="Times New Roman" w:eastAsia="Times New Roman" w:hAnsi="Times New Roman"/>
          <w:sz w:val="22"/>
          <w:szCs w:val="22"/>
        </w:rPr>
        <w:t xml:space="preserve">The Fixed-Income desk hosts the yield-curve view (11 tenors from 1-month to 30-year), a Hull–White swaption pricer, a PCA factor panel labelled Level/Slope/Curvature, and a rates-specific LLM brief. Swaption pricing is fully calibrated against the 1×5, 5×5 and 10×10 ATM-swaption cube.</w:t>
      </w:r>
    </w:p>
    <w:p>
      <w:pPr>
        <w:spacing w:after="120" w:line="360"/>
        <w:ind w:firstLine="360"/>
        <w:jc w:val="both"/>
      </w:pPr>
      <w:r>
        <w:rPr>
          <w:rFonts w:ascii="Times New Roman" w:cs="Times New Roman" w:eastAsia="Times New Roman" w:hAnsi="Times New Roman"/>
          <w:sz w:val="22"/>
          <w:szCs w:val="22"/>
        </w:rPr>
        <w:t xml:space="preserve">The FX Macro desk is the most data-rich. It exposes the live spot-rate strip for six majors, the OU mean-reversion diagnostics table, Hurst regime labels, Neural-SDE drift predictions, CFTC COT extreme-positioning flags, BIS REER real-effective-exchange-rate prints, GDELT geopolitical-stress index, and the Forex Factory high-impact-event calendar for the next 24 hours. The autonomous trade ledger anchors the bottom of the page with manual BUY/SELL buttons on every visible pair.</w:t>
      </w:r>
    </w:p>
    <w:p>
      <w:pPr>
        <w:spacing w:after="120" w:line="360"/>
        <w:ind w:firstLine="360"/>
        <w:jc w:val="both"/>
      </w:pPr>
      <w:r>
        <w:rPr>
          <w:rFonts w:ascii="Times New Roman" w:cs="Times New Roman" w:eastAsia="Times New Roman" w:hAnsi="Times New Roman"/>
          <w:sz w:val="22"/>
          <w:szCs w:val="22"/>
        </w:rPr>
        <w:t xml:space="preserve">The Analytics desk presents the unified portfolio view: four summary tiles, per-desk PnL breakdown, a Recharts-based realised-equity curve plotted from closed-trade cumulative PnL, the live positions table, the closed-trades history table, and the XGBoost Screener card with BACKFILL-2Y and RETRAIN buttons plus a .pkl download link.</w:t>
      </w:r>
    </w:p>
    <w:p>
      <w:pPr>
        <w:spacing w:after="120" w:line="360"/>
        <w:ind w:firstLine="360"/>
        <w:jc w:val="both"/>
      </w:pPr>
      <w:r>
        <w:rPr>
          <w:rFonts w:ascii="Times New Roman" w:cs="Times New Roman" w:eastAsia="Times New Roman" w:hAnsi="Times New Roman"/>
          <w:sz w:val="22"/>
          <w:szCs w:val="22"/>
        </w:rPr>
        <w:t xml:space="preserve">The AI-Models desk is dedicated to LLM observability. Five top tiles summarise total requests, average latency, prompt tokens, completion tokens and total tokens. A decision tally card shows BUY / SELL / HOLD / OTHER counts from auto-PM structured responses. A by-endpoint table lists request counts, success/failure rates, and average latencies per endpoint. The XGBoost Screener status is also mirrored here with a download link. A scrollable recent-calls feed shows the last 80 calls with prompt previews, response previews, decision labels and status codes. All data refreshes every five seconds.</w:t>
      </w:r>
    </w:p>
    <w:p>
      <w:pPr>
        <w:spacing w:after="120" w:line="360"/>
        <w:ind w:firstLine="360"/>
        <w:jc w:val="both"/>
      </w:pPr>
      <w:r>
        <w:rPr>
          <w:rFonts w:ascii="Times New Roman" w:cs="Times New Roman" w:eastAsia="Times New Roman" w:hAnsi="Times New Roman"/>
          <w:sz w:val="22"/>
          <w:szCs w:val="22"/>
        </w:rPr>
        <w:t xml:space="preserve">The Research desk renders the global maritime map using react-simple-maps at Equal-Earth projection, centred on Europe/Middle-East/Asia where most chokepoints are located. Ship dots are colour-coded by speed (green underway, amber slow, slate anchored). Eight chokepoint markers have radius proportional to ship count and text labels. A scrollable per-chokepoint sidebar lists counts, descriptions and sample ship names. A marine-analyst chatbot at the bottom accepts natural-language questions and returns Gemma-3n responses grounded in live ship counts plus portfolio state plus top headlines.</w:t>
      </w:r>
    </w:p>
    <w:p>
      <w:pPr>
        <w:spacing w:after="160" w:before="320" w:line="360"/>
        <w:jc w:val="left"/>
      </w:pPr>
      <w:r>
        <w:rPr>
          <w:rFonts w:ascii="Times New Roman" w:cs="Times New Roman" w:eastAsia="Times New Roman" w:hAnsi="Times New Roman"/>
          <w:b/>
          <w:bCs/>
          <w:sz w:val="28"/>
          <w:szCs w:val="28"/>
        </w:rPr>
        <w:t xml:space="preserve">3.9 Summary</w:t>
      </w:r>
    </w:p>
    <w:p>
      <w:pPr>
        <w:spacing w:after="120" w:line="360"/>
        <w:ind w:firstLine="360"/>
        <w:jc w:val="both"/>
      </w:pPr>
      <w:r>
        <w:rPr>
          <w:rFonts w:ascii="Times New Roman" w:cs="Times New Roman" w:eastAsia="Times New Roman" w:hAnsi="Times New Roman"/>
          <w:sz w:val="22"/>
          <w:szCs w:val="22"/>
        </w:rPr>
        <w:t xml:space="preserve">In summary, this chapter documented the three-tier architecture, the seven numerical engines, the autonomous trade engine with market-hours gating and trailing stops, the XGBoost screener with historical backfill, the persistent LLM call log, the AISStream marine consumer, and the five presentation desks. Every subsystem uses free-tier data and inference and runs on commodity hardware.</w:t>
      </w:r>
    </w:p>
    <w:p>
      <w:pPr>
        <w:pageBreakBefore/>
        <w:spacing w:after="320" w:before="480" w:line="360"/>
        <w:jc w:val="center"/>
      </w:pPr>
      <w:r>
        <w:rPr>
          <w:rFonts w:ascii="Times New Roman" w:cs="Times New Roman" w:eastAsia="Times New Roman" w:hAnsi="Times New Roman"/>
          <w:b/>
          <w:bCs/>
          <w:sz w:val="36"/>
          <w:szCs w:val="36"/>
        </w:rPr>
        <w:t xml:space="preserve">Chapter 4 : Results and Analysis</w:t>
      </w:r>
    </w:p>
    <w:p>
      <w:pPr>
        <w:spacing w:after="120" w:line="360"/>
        <w:ind w:firstLine="360"/>
        <w:jc w:val="both"/>
      </w:pPr>
      <w:r>
        <w:rPr>
          <w:rFonts w:ascii="Times New Roman" w:cs="Times New Roman" w:eastAsia="Times New Roman" w:hAnsi="Times New Roman"/>
          <w:sz w:val="22"/>
          <w:szCs w:val="22"/>
        </w:rPr>
        <w:t xml:space="preserve">This chapter reports empirical validation of every major subsystem. Section 4.1 covers PCA yield-curve decomposition. Section 4.2 validates OU mean-reversion estimators. Section 4.3 reports the backtest of a simple OU strategy. Section 4.4 examines GARCH tail-risk calibration. Section 4.5 measures LLM latency, grounding and decision quality. Section 4.6 documents ML screener training metrics. Section 4.7 reports AIS throughput and chokepoint coverage. Section 4.8 measures cross-desk end-to-end latency.</w:t>
      </w:r>
    </w:p>
    <w:p>
      <w:pPr>
        <w:spacing w:after="160" w:before="320" w:line="360"/>
        <w:jc w:val="left"/>
      </w:pPr>
      <w:r>
        <w:rPr>
          <w:rFonts w:ascii="Times New Roman" w:cs="Times New Roman" w:eastAsia="Times New Roman" w:hAnsi="Times New Roman"/>
          <w:b/>
          <w:bCs/>
          <w:sz w:val="28"/>
          <w:szCs w:val="28"/>
        </w:rPr>
        <w:t xml:space="preserve">4.1 PCA Yield-Curve Decomposition</w:t>
      </w:r>
    </w:p>
    <w:p>
      <w:pPr>
        <w:spacing w:after="120" w:line="360"/>
        <w:ind w:firstLine="360"/>
        <w:jc w:val="both"/>
      </w:pPr>
      <w:r>
        <w:rPr>
          <w:rFonts w:ascii="Times New Roman" w:cs="Times New Roman" w:eastAsia="Times New Roman" w:hAnsi="Times New Roman"/>
          <w:sz w:val="22"/>
          <w:szCs w:val="22"/>
        </w:rPr>
        <w:t xml:space="preserve">Over the two-year window from April 2024 through April 2026, the eleven-tenor U.S. Treasury yield-change covariance matrix admits a clean three-factor decomposition. The first three principal components explain 91.3%, 6.4%, and 1.0% of total variance respectively — a cumulative 98.7% that matches the canonical Litterman–Scheinkman finding to within fifty basis points on an entirely disjoint historical window.</w:t>
      </w:r>
    </w:p>
    <w:p>
      <w:pPr>
        <w:spacing w:after="120" w:line="360"/>
        <w:ind w:firstLine="360"/>
        <w:jc w:val="both"/>
      </w:pPr>
      <w:r>
        <w:rPr>
          <w:rFonts w:ascii="Times New Roman" w:cs="Times New Roman" w:eastAsia="Times New Roman" w:hAnsi="Times New Roman"/>
          <w:sz w:val="22"/>
          <w:szCs w:val="22"/>
        </w:rPr>
        <w:t xml:space="preserve">PC1 exhibits roughly flat loadings across all tenors, confirming its interpretation as Level. PC2 loadings increase monotonically from short to long tenor, confirming Slope. PC3 loadings are hump-shaped with a peak around the 5-year tenor, confirming Curvature. The result is robust to the choice of rolling window: we verified the decomposition at 250-day, 500-day, and 1000-day lookbacks and found the loading patterns stable within normal estimation noise.</w:t>
      </w:r>
    </w:p>
    <w:p>
      <w:pPr>
        <w:spacing w:after="80" w:before="200"/>
        <w:jc w:val="center"/>
      </w:pPr>
      <w:r>
        <w:drawing>
          <wp:inline distT="0" distB="0" distL="0" distR="0">
            <wp:extent cx="4476750" cy="2476500"/>
            <wp:effectExtent t="0" r="0" b="0" l="0"/>
            <wp:docPr id="1" name="fig3_scree.png" descr="PCA scree plot — three factors capture 98.7% of UST yield-change variance." title="PCA scree plot — three factors capture 98.7% of UST yield-change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5. </w:t>
      </w:r>
      <w:r>
        <w:rPr>
          <w:rFonts w:ascii="Times New Roman" w:cs="Times New Roman" w:eastAsia="Times New Roman" w:hAnsi="Times New Roman"/>
          <w:i/>
          <w:iCs/>
          <w:sz w:val="22"/>
          <w:szCs w:val="22"/>
        </w:rPr>
        <w:t xml:space="preserve">PCA scree plot — three factors capture 98.7% of UST yield-change variance.</w:t>
      </w:r>
    </w:p>
    <w:p>
      <w:pPr>
        <w:spacing w:after="80" w:before="200"/>
        <w:jc w:val="center"/>
      </w:pPr>
      <w:r>
        <w:drawing>
          <wp:inline distT="0" distB="0" distL="0" distR="0">
            <wp:extent cx="4476750" cy="2476500"/>
            <wp:effectExtent t="0" r="0" b="0" l="0"/>
            <wp:docPr id="1" name="fig4_loadings.png" descr="PC1–PC3 eigenvector loadings vs tenor: Level, Slope, Curvature." title="PC1–PC3 eigenvector loadings vs tenor: Level, Slope, Curv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6. </w:t>
      </w:r>
      <w:r>
        <w:rPr>
          <w:rFonts w:ascii="Times New Roman" w:cs="Times New Roman" w:eastAsia="Times New Roman" w:hAnsi="Times New Roman"/>
          <w:i/>
          <w:iCs/>
          <w:sz w:val="22"/>
          <w:szCs w:val="22"/>
        </w:rPr>
        <w:t xml:space="preserve">PC1–PC3 eigenvector loadings vs tenor: Level, Slope, Curvature.</w:t>
      </w:r>
    </w:p>
    <w:p>
      <w:pPr>
        <w:spacing w:after="160" w:before="320" w:line="360"/>
        <w:jc w:val="left"/>
      </w:pPr>
      <w:r>
        <w:rPr>
          <w:rFonts w:ascii="Times New Roman" w:cs="Times New Roman" w:eastAsia="Times New Roman" w:hAnsi="Times New Roman"/>
          <w:b/>
          <w:bCs/>
          <w:sz w:val="28"/>
          <w:szCs w:val="28"/>
        </w:rPr>
        <w:t xml:space="preserve">4.2 OU Mean-Reversion Diagnostics</w:t>
      </w:r>
    </w:p>
    <w:p>
      <w:pPr>
        <w:spacing w:after="120" w:line="360"/>
        <w:ind w:firstLine="360"/>
        <w:jc w:val="both"/>
      </w:pPr>
      <w:r>
        <w:rPr>
          <w:rFonts w:ascii="Times New Roman" w:cs="Times New Roman" w:eastAsia="Times New Roman" w:hAnsi="Times New Roman"/>
          <w:sz w:val="22"/>
          <w:szCs w:val="22"/>
        </w:rPr>
        <w:t xml:space="preserve">The Ornstein–Uhlenbeck maximum-likelihood estimator was applied to the top-five most-mean-reverting G10 currency crosses, ranked by κ̂. EUR/USD exhibited the fastest mean reversion with κ̂ = 8.80 corresponding to a half-life of 19.9 days; its t-statistic of −2.68 is below the 10% Augmented-Dickey-Fuller critical value, marginally significant. USD/JPY, GBP/USD, AUD/USD and USD/CAD followed with half-lives from 27 to 45 days.</w:t>
      </w:r>
    </w:p>
    <w:p>
      <w:pPr>
        <w:spacing w:after="120" w:line="360"/>
        <w:ind w:firstLine="360"/>
        <w:jc w:val="both"/>
      </w:pPr>
      <w:r>
        <w:rPr>
          <w:rFonts w:ascii="Times New Roman" w:cs="Times New Roman" w:eastAsia="Times New Roman" w:hAnsi="Times New Roman"/>
          <w:sz w:val="22"/>
          <w:szCs w:val="22"/>
        </w:rPr>
        <w:t xml:space="preserve">A bootstrap validation was performed with 1,000 resamples with replacement. The 95% confidence interval on κ̂ corresponds to an absolute half-life error of less than 1.4 days across all twenty-eight G10 and EM pairs tested. This precision is sufficient for tactical FX mean-reversion strategies where the position-sizing sensitivity to τ̂_½ is modest.</w:t>
      </w:r>
    </w:p>
    <w:p>
      <w:pPr>
        <w:spacing w:after="160" w:before="320" w:line="360"/>
        <w:jc w:val="left"/>
      </w:pPr>
      <w:r>
        <w:rPr>
          <w:rFonts w:ascii="Times New Roman" w:cs="Times New Roman" w:eastAsia="Times New Roman" w:hAnsi="Times New Roman"/>
          <w:b/>
          <w:bCs/>
          <w:sz w:val="28"/>
          <w:szCs w:val="28"/>
        </w:rPr>
        <w:t xml:space="preserve">4.3 Backtest of OU Mean-Reversion Strategy</w:t>
      </w:r>
    </w:p>
    <w:p>
      <w:pPr>
        <w:spacing w:after="120" w:line="360"/>
        <w:ind w:firstLine="360"/>
        <w:jc w:val="both"/>
      </w:pPr>
      <w:r>
        <w:rPr>
          <w:rFonts w:ascii="Times New Roman" w:cs="Times New Roman" w:eastAsia="Times New Roman" w:hAnsi="Times New Roman"/>
          <w:sz w:val="22"/>
          <w:szCs w:val="22"/>
        </w:rPr>
        <w:t xml:space="preserve">The OU parameters estimated in Section 4.2 drive a simple mean-reversion strategy: a long position is opened when the log-price falls 1.5 σ̂ below θ̂ and closed when it returns to θ̂. Equal weights across the top-five pairs, rebalanced daily.</w:t>
      </w:r>
    </w:p>
    <w:p>
      <w:pPr>
        <w:spacing w:after="120" w:line="360"/>
        <w:ind w:firstLine="360"/>
        <w:jc w:val="both"/>
      </w:pPr>
      <w:r>
        <w:rPr>
          <w:rFonts w:ascii="Times New Roman" w:cs="Times New Roman" w:eastAsia="Times New Roman" w:hAnsi="Times New Roman"/>
          <w:sz w:val="22"/>
          <w:szCs w:val="22"/>
        </w:rPr>
        <w:t xml:space="preserve">The strategy returns a backtested gross Sharpe ratio of 1.38, outperforming a naïve carry benchmark that rolls overnight interest-rate differentials by a factor of three. Maximum intraday drawdown is 4.2%. We note explicitly that the backtest is in-sample — parameters were estimated on the same window used for simulation. A walk-forward evaluation with six-month re-estimation periods is identified as a future-work item in Chapter 6.</w:t>
      </w:r>
    </w:p>
    <w:p>
      <w:pPr>
        <w:spacing w:after="80" w:before="200"/>
        <w:jc w:val="center"/>
      </w:pPr>
      <w:r>
        <w:drawing>
          <wp:inline distT="0" distB="0" distL="0" distR="0">
            <wp:extent cx="4476750" cy="2476500"/>
            <wp:effectExtent t="0" r="0" b="0" l="0"/>
            <wp:docPr id="1" name="figJ_equity_dd.png" descr="Auto-PM realised equity curve and drawdown over 100 trading days." title="Auto-PM realised equity curve and drawdown over 100 trading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7. </w:t>
      </w:r>
      <w:r>
        <w:rPr>
          <w:rFonts w:ascii="Times New Roman" w:cs="Times New Roman" w:eastAsia="Times New Roman" w:hAnsi="Times New Roman"/>
          <w:i/>
          <w:iCs/>
          <w:sz w:val="22"/>
          <w:szCs w:val="22"/>
        </w:rPr>
        <w:t xml:space="preserve">Auto-PM realised equity curve and drawdown over 100 trading days.</w:t>
      </w:r>
    </w:p>
    <w:p>
      <w:pPr>
        <w:spacing w:after="160" w:before="320" w:line="360"/>
        <w:jc w:val="left"/>
      </w:pPr>
      <w:r>
        <w:rPr>
          <w:rFonts w:ascii="Times New Roman" w:cs="Times New Roman" w:eastAsia="Times New Roman" w:hAnsi="Times New Roman"/>
          <w:b/>
          <w:bCs/>
          <w:sz w:val="28"/>
          <w:szCs w:val="28"/>
        </w:rPr>
        <w:t xml:space="preserve">4.4 GARCH Tail-Risk Calibration</w:t>
      </w:r>
    </w:p>
    <w:p>
      <w:pPr>
        <w:spacing w:after="120" w:line="360"/>
        <w:ind w:firstLine="360"/>
        <w:jc w:val="both"/>
      </w:pPr>
      <w:r>
        <w:rPr>
          <w:rFonts w:ascii="Times New Roman" w:cs="Times New Roman" w:eastAsia="Times New Roman" w:hAnsi="Times New Roman"/>
          <w:sz w:val="22"/>
          <w:szCs w:val="22"/>
        </w:rPr>
        <w:t xml:space="preserve">Across the fifty-stock equity universe, the median GARCH(1,1) fit produces α̂ = 0.081, β̂ = 0.894, ω̂ = 1.1 × 10⁻⁵. The stationarity condition α + β &lt; 1 holds in every ticker, with persistence values of α + β = 0.975 on the median.</w:t>
      </w:r>
    </w:p>
    <w:p>
      <w:pPr>
        <w:spacing w:after="120" w:line="360"/>
        <w:ind w:firstLine="360"/>
        <w:jc w:val="both"/>
      </w:pPr>
      <w:r>
        <w:rPr>
          <w:rFonts w:ascii="Times New Roman" w:cs="Times New Roman" w:eastAsia="Times New Roman" w:hAnsi="Times New Roman"/>
          <w:sz w:val="22"/>
          <w:szCs w:val="22"/>
        </w:rPr>
        <w:t xml:space="preserve">Kupiec's unconditional-coverage test at the 1% Value-at-Risk level fails to reject the null hypothesis of correct coverage for 47 out of 50 tickers — a 94% pass rate. The three failing tickers are all small-capitalisation names with short trading histories, consistent with the known fragility of GARCH estimation under small samples. This coverage rate is above the 90% industry floor typically required by regulatory risk systems.</w:t>
      </w:r>
    </w:p>
    <w:p>
      <w:pPr>
        <w:spacing w:after="160" w:before="320" w:line="360"/>
        <w:jc w:val="left"/>
      </w:pPr>
      <w:r>
        <w:rPr>
          <w:rFonts w:ascii="Times New Roman" w:cs="Times New Roman" w:eastAsia="Times New Roman" w:hAnsi="Times New Roman"/>
          <w:b/>
          <w:bCs/>
          <w:sz w:val="28"/>
          <w:szCs w:val="28"/>
        </w:rPr>
        <w:t xml:space="preserve">4.5 LLM Latency, Grounding and Decision Quality</w:t>
      </w:r>
    </w:p>
    <w:p>
      <w:pPr>
        <w:spacing w:after="120" w:line="360"/>
        <w:ind w:firstLine="360"/>
        <w:jc w:val="both"/>
      </w:pPr>
      <w:r>
        <w:rPr>
          <w:rFonts w:ascii="Times New Roman" w:cs="Times New Roman" w:eastAsia="Times New Roman" w:hAnsi="Times New Roman"/>
          <w:sz w:val="22"/>
          <w:szCs w:val="22"/>
        </w:rPr>
        <w:t xml:space="preserve">The morning-brief generation pipeline runs end-to-end in 7.2 ± 1.1 seconds across fifty measured runs on the Gemma-3n-E4B-it free tier. Every request completes within the 60-second HTTP timeout configured in the OpenRouter client. No request was throttled, confirming that the 12-second polite-delay mutex is sufficient at the free-tier 20-RPM limit.</w:t>
      </w:r>
    </w:p>
    <w:p>
      <w:pPr>
        <w:spacing w:after="120" w:line="360"/>
        <w:ind w:firstLine="360"/>
        <w:jc w:val="both"/>
      </w:pPr>
      <w:r>
        <w:rPr>
          <w:rFonts w:ascii="Times New Roman" w:cs="Times New Roman" w:eastAsia="Times New Roman" w:hAnsi="Times New Roman"/>
          <w:sz w:val="22"/>
          <w:szCs w:val="22"/>
        </w:rPr>
        <w:t xml:space="preserve">A manual audit was performed on twenty randomly-sampled morning briefs. Nineteen of the twenty (95%) were fully factually grounded: every numerical claim matched an independent public source. The single failing brief contained an outdated European Central Bank benchmark rate. Forensic analysis traced the error to a stale RSS cache, not to LLM hallucination — the LLM correctly copied the number from its retrieved context, which itself was stale.</w:t>
      </w:r>
    </w:p>
    <w:p>
      <w:pPr>
        <w:spacing w:after="120" w:line="360"/>
        <w:ind w:firstLine="360"/>
        <w:jc w:val="both"/>
      </w:pPr>
      <w:r>
        <w:rPr>
          <w:rFonts w:ascii="Times New Roman" w:cs="Times New Roman" w:eastAsia="Times New Roman" w:hAnsi="Times New Roman"/>
          <w:sz w:val="22"/>
          <w:szCs w:val="22"/>
        </w:rPr>
        <w:t xml:space="preserve">The auto-PM cycle's structured-JSON decision format produces parseable BUY, SELL or HOLD responses on 98% of calls. The 2% parse failures fall back cleanly to HOLD rather than causing exceptions. Gemma-3n exhibits a measurable bias toward HOLD under the conservative-PM system prompt — approximately 60% of candidate evaluations return HOLD, 25% BUY and 15% SELL — which is exactly the macro-cadence behaviour we want for a desk that is explicitly not high-frequency.</w:t>
      </w:r>
    </w:p>
    <w:p>
      <w:pPr>
        <w:spacing w:after="80" w:before="200"/>
        <w:jc w:val="center"/>
      </w:pPr>
      <w:r>
        <w:drawing>
          <wp:inline distT="0" distB="0" distL="0" distR="0">
            <wp:extent cx="4476750" cy="2476500"/>
            <wp:effectExtent t="0" r="0" b="0" l="0"/>
            <wp:docPr id="1" name="figB_metrics.png" descr="Quantitative performance metrics comparison against target thresholds." title="Quantitative performance metrics comparison against targe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8. </w:t>
      </w:r>
      <w:r>
        <w:rPr>
          <w:rFonts w:ascii="Times New Roman" w:cs="Times New Roman" w:eastAsia="Times New Roman" w:hAnsi="Times New Roman"/>
          <w:i/>
          <w:iCs/>
          <w:sz w:val="22"/>
          <w:szCs w:val="22"/>
        </w:rPr>
        <w:t xml:space="preserve">Quantitative performance metrics comparison against target thresholds.</w:t>
      </w:r>
    </w:p>
    <w:p>
      <w:pPr>
        <w:spacing w:after="80" w:before="240"/>
        <w:jc w:val="left"/>
      </w:pPr>
      <w:r>
        <w:rPr>
          <w:rFonts w:ascii="Times New Roman" w:cs="Times New Roman" w:eastAsia="Times New Roman" w:hAnsi="Times New Roman"/>
          <w:b/>
          <w:bCs/>
          <w:sz w:val="22"/>
          <w:szCs w:val="22"/>
        </w:rPr>
        <w:t xml:space="preserve">Table [1]: System Performance Metrics Summary</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gridCol w:w="2100"/>
        <w:gridCol w:w="2000"/>
      </w:tblGrid>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Metric</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Value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Target Threshold</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PCA 3-factor variance share</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98.7%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&gt;90%</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OU half-life bootstrap error</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±1.4 d</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&lt;2 d</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GARCH Kupiec coverage (1% VaR)</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94.0%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&gt;90%</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Backtest Sharpe ratio</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1.38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&gt;1.00</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LLM grounding accuracy (n=20)</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95.0%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&gt;90%</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End-to-end morning brief latency</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7.2 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&lt;15 s</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UI Time-to-Interactive</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1.8 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&lt;3 s</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FX desk load (post-GDELT fix)</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4.8 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&lt;10 s</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AIS ships cached (60 s runtime)</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15 k+</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&gt;1 k</w:t>
            </w:r>
          </w:p>
        </w:tc>
      </w:tr>
      <w:tr>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ML screener validation AUC</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0.58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&gt;0.55</w:t>
            </w:r>
          </w:p>
        </w:tc>
      </w:tr>
    </w:tbl>
    <w:p>
      <w:pPr>
        <w:spacing w:after="200"/>
      </w:pPr>
      <w:r>
        <w:rPr>
          <w:rFonts w:ascii="Times New Roman" w:cs="Times New Roman" w:eastAsia="Times New Roman" w:hAnsi="Times New Roman"/>
          <w:sz w:val="22"/>
          <w:szCs w:val="22"/>
        </w:rPr>
        <w:t xml:space="preserve"/>
      </w:r>
    </w:p>
    <w:p>
      <w:pPr>
        <w:spacing w:after="80" w:before="200"/>
        <w:jc w:val="center"/>
      </w:pPr>
      <w:r>
        <w:drawing>
          <wp:inline distT="0" distB="0" distL="0" distR="0">
            <wp:extent cx="4476750" cy="2476500"/>
            <wp:effectExtent t="0" r="0" b="0" l="0"/>
            <wp:docPr id="1" name="figI_llm_usage.png" descr="LLM usage analytics: auto-PM decision tally and per-endpoint mean latency." title="LLM usage analytics: auto-PM decision tally and per-endpoint mean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9. </w:t>
      </w:r>
      <w:r>
        <w:rPr>
          <w:rFonts w:ascii="Times New Roman" w:cs="Times New Roman" w:eastAsia="Times New Roman" w:hAnsi="Times New Roman"/>
          <w:i/>
          <w:iCs/>
          <w:sz w:val="22"/>
          <w:szCs w:val="22"/>
        </w:rPr>
        <w:t xml:space="preserve">LLM usage analytics: auto-PM decision tally and per-endpoint mean latency.</w:t>
      </w:r>
    </w:p>
    <w:p>
      <w:pPr>
        <w:spacing w:after="160" w:before="320" w:line="360"/>
        <w:jc w:val="left"/>
      </w:pPr>
      <w:r>
        <w:rPr>
          <w:rFonts w:ascii="Times New Roman" w:cs="Times New Roman" w:eastAsia="Times New Roman" w:hAnsi="Times New Roman"/>
          <w:b/>
          <w:bCs/>
          <w:sz w:val="28"/>
          <w:szCs w:val="28"/>
        </w:rPr>
        <w:t xml:space="preserve">4.6 ML Screener Training Metrics</w:t>
      </w:r>
    </w:p>
    <w:p>
      <w:pPr>
        <w:spacing w:after="120" w:line="360"/>
        <w:ind w:firstLine="360"/>
        <w:jc w:val="both"/>
      </w:pPr>
      <w:r>
        <w:rPr>
          <w:rFonts w:ascii="Times New Roman" w:cs="Times New Roman" w:eastAsia="Times New Roman" w:hAnsi="Times New Roman"/>
          <w:sz w:val="22"/>
          <w:szCs w:val="22"/>
        </w:rPr>
        <w:t xml:space="preserve">The historical-backfill pipeline generates approximately 5,200 synthetic training samples across thirteen watchlist symbols when run with the default two-year lookback. OHLC-based stop detection flags approximately 12% of simulated trades as intraday stop-outs that a naïve close-only simulation would have missed — confirming that this correction is material to label quality.</w:t>
      </w:r>
    </w:p>
    <w:p>
      <w:pPr>
        <w:spacing w:after="120" w:line="360"/>
        <w:ind w:firstLine="360"/>
        <w:jc w:val="both"/>
      </w:pPr>
      <w:r>
        <w:rPr>
          <w:rFonts w:ascii="Times New Roman" w:cs="Times New Roman" w:eastAsia="Times New Roman" w:hAnsi="Times New Roman"/>
          <w:sz w:val="22"/>
          <w:szCs w:val="22"/>
        </w:rPr>
        <w:t xml:space="preserve">Post-haircut, the positive-class rate (realised net PnL &gt; 0) sits at approximately 0.42 across the full sample, slightly below the 0.50 mid-line. This asymmetry reflects the transaction-cost haircut removing the marginal-winners bucket and is consistent with well-documented realities of systematic trading under friction.</w:t>
      </w:r>
    </w:p>
    <w:p>
      <w:pPr>
        <w:spacing w:after="120" w:line="360"/>
        <w:ind w:firstLine="360"/>
        <w:jc w:val="both"/>
      </w:pPr>
      <w:r>
        <w:rPr>
          <w:rFonts w:ascii="Times New Roman" w:cs="Times New Roman" w:eastAsia="Times New Roman" w:hAnsi="Times New Roman"/>
          <w:sz w:val="22"/>
          <w:szCs w:val="22"/>
        </w:rPr>
        <w:t xml:space="preserve">On a chronological 80/20 train/validation split, the XGBoost classifier achieves a validation AUC of approximately 0.58 and validation accuracy of approximately 0.56. These are modest numbers — a 0.58 AUC means the classifier has some signal but is far from a gold-mine — and exactly the honest result we should expect from a screener trained on two years of data across only a handful of liquid symbols. The top five feature importances consistently rank GARCH persistence, realised volatility, OU half-life, 20-day return, and Hurst exponent as the most informative inputs.</w:t>
      </w:r>
    </w:p>
    <w:p>
      <w:pPr>
        <w:spacing w:after="160" w:before="320" w:line="360"/>
        <w:jc w:val="left"/>
      </w:pPr>
      <w:r>
        <w:rPr>
          <w:rFonts w:ascii="Times New Roman" w:cs="Times New Roman" w:eastAsia="Times New Roman" w:hAnsi="Times New Roman"/>
          <w:b/>
          <w:bCs/>
          <w:sz w:val="28"/>
          <w:szCs w:val="28"/>
        </w:rPr>
        <w:t xml:space="preserve">4.7 AIS Throughput and Chokepoint Coverage</w:t>
      </w:r>
    </w:p>
    <w:p>
      <w:pPr>
        <w:spacing w:after="120" w:line="360"/>
        <w:ind w:firstLine="360"/>
        <w:jc w:val="both"/>
      </w:pPr>
      <w:r>
        <w:rPr>
          <w:rFonts w:ascii="Times New Roman" w:cs="Times New Roman" w:eastAsia="Times New Roman" w:hAnsi="Times New Roman"/>
          <w:sz w:val="22"/>
          <w:szCs w:val="22"/>
        </w:rPr>
        <w:t xml:space="preserve">The AISStream WebSocket consumer is measured at 3-4 messages per second sustained after the initial subscription handshake. Within 30 seconds of backend startup the in-memory registry typically holds 3,000 unique MMSI. Within 60 seconds this exceeds 15,000. Within 5 minutes the registry stabilises at roughly 18,000 to 22,000 ships depending on time-of-day and global shipping activity.</w:t>
      </w:r>
    </w:p>
    <w:p>
      <w:pPr>
        <w:spacing w:after="120" w:line="360"/>
        <w:ind w:firstLine="360"/>
        <w:jc w:val="both"/>
      </w:pPr>
      <w:r>
        <w:rPr>
          <w:rFonts w:ascii="Times New Roman" w:cs="Times New Roman" w:eastAsia="Times New Roman" w:hAnsi="Times New Roman"/>
          <w:sz w:val="22"/>
          <w:szCs w:val="22"/>
        </w:rPr>
        <w:t xml:space="preserve">Chokepoint coverage varies by zone. Rotterdam, unsurprisingly, dominates with 700-2,000 ships typically counted inside its bounding box, reflecting its position as Europe's largest container and crude port. The English Channel / Dover zone typically sees 25-80 ships. Malacca hosts 80-350 ships depending on time of day. Suez, Panama and Hormuz are sparser, typically in the single digits to low double digits, reflecting their geometry as transit corridors rather than port clusters.</w:t>
      </w:r>
    </w:p>
    <w:p>
      <w:pPr>
        <w:spacing w:after="120" w:line="360"/>
        <w:ind w:firstLine="360"/>
        <w:jc w:val="both"/>
      </w:pPr>
      <w:r>
        <w:rPr>
          <w:rFonts w:ascii="Times New Roman" w:cs="Times New Roman" w:eastAsia="Times New Roman" w:hAnsi="Times New Roman"/>
          <w:sz w:val="22"/>
          <w:szCs w:val="22"/>
        </w:rPr>
        <w:t xml:space="preserve">The Research-page chatbot was spot-checked with four natural-language queries. Every response correctly cited specific live ship counts from the current registry ("114 ships in Malacca", "1,753 in Rotterdam") and integrated them with portfolio state to produce coherent trade recommendations. This is exactly the grounded-reasoning behaviour a portfolio manager would expect from a junior research analyst.</w:t>
      </w:r>
    </w:p>
    <w:p>
      <w:pPr>
        <w:spacing w:after="160" w:before="320" w:line="360"/>
        <w:jc w:val="left"/>
      </w:pPr>
      <w:r>
        <w:rPr>
          <w:rFonts w:ascii="Times New Roman" w:cs="Times New Roman" w:eastAsia="Times New Roman" w:hAnsi="Times New Roman"/>
          <w:b/>
          <w:bCs/>
          <w:sz w:val="28"/>
          <w:szCs w:val="28"/>
        </w:rPr>
        <w:t xml:space="preserve">4.8 Cross-Desk End-to-End Latency</w:t>
      </w:r>
    </w:p>
    <w:p>
      <w:pPr>
        <w:spacing w:after="120" w:line="360"/>
        <w:ind w:firstLine="360"/>
        <w:jc w:val="both"/>
      </w:pPr>
      <w:r>
        <w:rPr>
          <w:rFonts w:ascii="Times New Roman" w:cs="Times New Roman" w:eastAsia="Times New Roman" w:hAnsi="Times New Roman"/>
          <w:sz w:val="22"/>
          <w:szCs w:val="22"/>
        </w:rPr>
        <w:t xml:space="preserve">Desk-by-desk, the observed cold-load time-to-interactive is: Main dashboard 1.8 s, Fixed-Income 2.1 s, Analytics 2.3 s, AI-Models 1.9 s, Research 2.6 s (map tiles + chokepoint fetch in parallel), FX Macro 4.8 s after the GDELT-cache pre-warm fix (was 86 s before the fix). All measurements use Chrome DevTools with a cold cache and a warm backend.</w:t>
      </w:r>
    </w:p>
    <w:p>
      <w:pPr>
        <w:spacing w:after="120" w:line="360"/>
        <w:ind w:firstLine="360"/>
        <w:jc w:val="both"/>
      </w:pPr>
      <w:r>
        <w:rPr>
          <w:rFonts w:ascii="Times New Roman" w:cs="Times New Roman" w:eastAsia="Times New Roman" w:hAnsi="Times New Roman"/>
          <w:sz w:val="22"/>
          <w:szCs w:val="22"/>
        </w:rPr>
        <w:t xml:space="preserve">The GDELT fix is the single largest performance win in the platform's history. Prior to the fix, each cold load of the FX Macro desk triggered six serial GDELT API calls with 1.5-second inter-request sleeps and 15-second timeouts, totalling 86 seconds while returning mostly empty data because of aggressive rate-limiting. The fix pre-warms the GDELT cache in a background thread at backend startup, extends cache TTL from 10 to 30 minutes, and adds a single-flight refresh lock that serves stale data rather than blocking on a concurrent refresh. Post-fix, the FX Macro desk loads in under 5 seconds cold.</w:t>
      </w:r>
    </w:p>
    <w:p>
      <w:pPr>
        <w:spacing w:after="160" w:before="320" w:line="360"/>
        <w:jc w:val="left"/>
      </w:pPr>
      <w:r>
        <w:rPr>
          <w:rFonts w:ascii="Times New Roman" w:cs="Times New Roman" w:eastAsia="Times New Roman" w:hAnsi="Times New Roman"/>
          <w:b/>
          <w:bCs/>
          <w:sz w:val="28"/>
          <w:szCs w:val="28"/>
        </w:rPr>
        <w:t xml:space="preserve">4.9 Summary</w:t>
      </w:r>
    </w:p>
    <w:p>
      <w:pPr>
        <w:spacing w:after="120" w:line="360"/>
        <w:ind w:firstLine="360"/>
        <w:jc w:val="both"/>
      </w:pPr>
      <w:r>
        <w:rPr>
          <w:rFonts w:ascii="Times New Roman" w:cs="Times New Roman" w:eastAsia="Times New Roman" w:hAnsi="Times New Roman"/>
          <w:sz w:val="22"/>
          <w:szCs w:val="22"/>
        </w:rPr>
        <w:t xml:space="preserve">In summary, empirical validation confirms that Hedgyyyboo meets its stated performance targets across every subsystem: PCA recovers the canonical three-factor decomposition, OU half-life estimation is accurate to within 1.4 days, GARCH passes Kupiec at 94%, LLM grounding is 95%, AIS throughput exceeds 15,000 ships in 60 seconds, and every desk loads in under 5 seconds.</w:t>
      </w:r>
    </w:p>
    <w:p>
      <w:pPr>
        <w:pageBreakBefore/>
        <w:spacing w:after="320" w:before="480" w:line="360"/>
        <w:jc w:val="center"/>
      </w:pPr>
      <w:r>
        <w:rPr>
          <w:rFonts w:ascii="Times New Roman" w:cs="Times New Roman" w:eastAsia="Times New Roman" w:hAnsi="Times New Roman"/>
          <w:b/>
          <w:bCs/>
          <w:sz w:val="36"/>
          <w:szCs w:val="36"/>
        </w:rPr>
        <w:t xml:space="preserve">Chapter 5 : Advantages, Limitations and Applications</w:t>
      </w:r>
    </w:p>
    <w:p>
      <w:pPr>
        <w:spacing w:after="120" w:line="360"/>
        <w:ind w:firstLine="360"/>
        <w:jc w:val="both"/>
      </w:pPr>
      <w:r>
        <w:rPr>
          <w:rFonts w:ascii="Times New Roman" w:cs="Times New Roman" w:eastAsia="Times New Roman" w:hAnsi="Times New Roman"/>
          <w:sz w:val="22"/>
          <w:szCs w:val="22"/>
        </w:rPr>
        <w:t xml:space="preserve">This chapter evaluates the platform's practical merits and limitations, and explores its deployment scenarios. Section 5.1 enumerates advantages. Section 5.2 documents current limitations. Section 5.3 catalogues practical applications. Section 5.4 discusses future development directions.</w:t>
      </w:r>
    </w:p>
    <w:p>
      <w:pPr>
        <w:spacing w:after="160" w:before="320" w:line="360"/>
        <w:jc w:val="left"/>
      </w:pPr>
      <w:r>
        <w:rPr>
          <w:rFonts w:ascii="Times New Roman" w:cs="Times New Roman" w:eastAsia="Times New Roman" w:hAnsi="Times New Roman"/>
          <w:b/>
          <w:bCs/>
          <w:sz w:val="28"/>
          <w:szCs w:val="28"/>
        </w:rPr>
        <w:t xml:space="preserve">5.1 Key Advantages of the System</w:t>
      </w:r>
    </w:p>
    <w:p>
      <w:pPr>
        <w:spacing w:after="120" w:line="360"/>
        <w:ind w:firstLine="360"/>
        <w:jc w:val="both"/>
      </w:pPr>
      <w:r>
        <w:rPr>
          <w:rFonts w:ascii="Times New Roman" w:cs="Times New Roman" w:eastAsia="Times New Roman" w:hAnsi="Times New Roman"/>
          <w:sz w:val="22"/>
          <w:szCs w:val="22"/>
        </w:rPr>
        <w:t xml:space="preserve">Zero marginal cost. The entire pipeline — data acquisition, numerical computation, LLM inference, marine AIS, ML training and front-end rendering — incurs no per-request fees. The OpenRouter free tier provides Gemma-3n inference at 20 requests per minute. Every data feed is a public API. Comparable institutional tooling through Bloomberg Professional costs approximately twenty thousand US dollars annually per seat.</w:t>
      </w:r>
    </w:p>
    <w:p>
      <w:pPr>
        <w:spacing w:after="120" w:line="360"/>
        <w:ind w:firstLine="360"/>
        <w:jc w:val="both"/>
      </w:pPr>
      <w:r>
        <w:rPr>
          <w:rFonts w:ascii="Times New Roman" w:cs="Times New Roman" w:eastAsia="Times New Roman" w:hAnsi="Times New Roman"/>
          <w:sz w:val="22"/>
          <w:szCs w:val="22"/>
        </w:rPr>
        <w:t xml:space="preserve">Commodity hardware. The system runs on a single consumer laptop with 16 gigabytes of RAM and no dedicated GPU. Classroom laboratories that lack institutional infrastructure can deploy the full platform on existing student hardware.</w:t>
      </w:r>
    </w:p>
    <w:p>
      <w:pPr>
        <w:spacing w:after="120" w:line="360"/>
        <w:ind w:firstLine="360"/>
        <w:jc w:val="both"/>
      </w:pPr>
      <w:r>
        <w:rPr>
          <w:rFonts w:ascii="Times New Roman" w:cs="Times New Roman" w:eastAsia="Times New Roman" w:hAnsi="Times New Roman"/>
          <w:sz w:val="22"/>
          <w:szCs w:val="22"/>
        </w:rPr>
        <w:t xml:space="preserve">Reproducibility. All seven numerical models are implemented from first principles in pure NumPy / SciPy. Every model ships with an independent validation harness. Every trade persists its full opening signal packet as JSON meta. Every LLM call persists its prompt, response, latency and decision to SQLite. Results are reproducible in a paper-to-code sense.</w:t>
      </w:r>
    </w:p>
    <w:p>
      <w:pPr>
        <w:spacing w:after="120" w:line="360"/>
        <w:ind w:firstLine="360"/>
        <w:jc w:val="both"/>
      </w:pPr>
      <w:r>
        <w:rPr>
          <w:rFonts w:ascii="Times New Roman" w:cs="Times New Roman" w:eastAsia="Times New Roman" w:hAnsi="Times New Roman"/>
          <w:sz w:val="22"/>
          <w:szCs w:val="22"/>
        </w:rPr>
        <w:t xml:space="preserve">Institutional observability. The AI-Models desk shows every LLM request-response pair, every token count, and every decision label. The Analytics desk shows every open and closed trade with full audit trail. Examiners and regulators can interrogate the platform's behaviour with a single SQL query.</w:t>
      </w:r>
    </w:p>
    <w:p>
      <w:pPr>
        <w:spacing w:after="120" w:line="360"/>
        <w:ind w:firstLine="360"/>
        <w:jc w:val="both"/>
      </w:pPr>
      <w:r>
        <w:rPr>
          <w:rFonts w:ascii="Times New Roman" w:cs="Times New Roman" w:eastAsia="Times New Roman" w:hAnsi="Times New Roman"/>
          <w:sz w:val="22"/>
          <w:szCs w:val="22"/>
        </w:rPr>
        <w:t xml:space="preserve">End-to-end autonomy. The auto-PM cycle handles the full loop: market-hours checking, candidate selection, signal-packet computation, ML scoring, LLM decision, trade insertion, mark-to-market, and close-rule evaluation. No human intervention is required for routine operation.</w:t>
      </w:r>
    </w:p>
    <w:p>
      <w:pPr>
        <w:spacing w:after="120" w:line="360"/>
        <w:ind w:firstLine="360"/>
        <w:jc w:val="both"/>
      </w:pPr>
      <w:r>
        <w:rPr>
          <w:rFonts w:ascii="Times New Roman" w:cs="Times New Roman" w:eastAsia="Times New Roman" w:hAnsi="Times New Roman"/>
          <w:sz w:val="22"/>
          <w:szCs w:val="22"/>
        </w:rPr>
        <w:t xml:space="preserve">Alternative data as a first-class citizen. Marine AIS is not a plug-in — it has a dedicated Research desk, a dedicated chatbot, and is routinely referenced in LLM trade recommendations. Most open-source finance stacks treat alternative data as an afterthought.</w:t>
      </w:r>
    </w:p>
    <w:p>
      <w:pPr>
        <w:spacing w:after="120" w:line="360"/>
        <w:ind w:firstLine="360"/>
        <w:jc w:val="both"/>
      </w:pPr>
      <w:r>
        <w:rPr>
          <w:rFonts w:ascii="Times New Roman" w:cs="Times New Roman" w:eastAsia="Times New Roman" w:hAnsi="Times New Roman"/>
          <w:sz w:val="22"/>
          <w:szCs w:val="22"/>
        </w:rPr>
        <w:t xml:space="preserve">Multi-asset breadth in one system. FX, equity, rates and marine-traffic are unified in a single codebase. QuantLib, Zipline and OpenBB each specialise; Hedgyyyboo unifies.</w:t>
      </w:r>
    </w:p>
    <w:p>
      <w:pPr>
        <w:spacing w:after="80" w:before="200"/>
        <w:jc w:val="center"/>
      </w:pPr>
      <w:r>
        <w:drawing>
          <wp:inline distT="0" distB="0" distL="0" distR="0">
            <wp:extent cx="4476750" cy="2476500"/>
            <wp:effectExtent t="0" r="0" b="0" l="0"/>
            <wp:docPr id="1" name="figC_efficiency.png" descr="Workflow efficiency: Traditional workflow vs Hedgyyyboo platform on log-scale axis (morning-brief time, FX decision latency, tools consulted per day, narrative output accuracy)." title="Workflow efficiency: Traditional workflow vs Hedgyyyboo platform on log-scale axis (morning-brief time, FX decision latency, tools consulted per day, narrative output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10. </w:t>
      </w:r>
      <w:r>
        <w:rPr>
          <w:rFonts w:ascii="Times New Roman" w:cs="Times New Roman" w:eastAsia="Times New Roman" w:hAnsi="Times New Roman"/>
          <w:i/>
          <w:iCs/>
          <w:sz w:val="22"/>
          <w:szCs w:val="22"/>
        </w:rPr>
        <w:t xml:space="preserve">Workflow efficiency: Traditional workflow vs Hedgyyyboo platform on log-scale axis (morning-brief time, FX decision latency, tools consulted per day, narrative output accuracy).</w:t>
      </w:r>
    </w:p>
    <w:p>
      <w:pPr>
        <w:spacing w:after="160" w:before="320" w:line="360"/>
        <w:jc w:val="left"/>
      </w:pPr>
      <w:r>
        <w:rPr>
          <w:rFonts w:ascii="Times New Roman" w:cs="Times New Roman" w:eastAsia="Times New Roman" w:hAnsi="Times New Roman"/>
          <w:b/>
          <w:bCs/>
          <w:sz w:val="28"/>
          <w:szCs w:val="28"/>
        </w:rPr>
        <w:t xml:space="preserve">5.2 Current Limitations</w:t>
      </w:r>
    </w:p>
    <w:p>
      <w:pPr>
        <w:spacing w:after="120" w:line="360"/>
        <w:ind w:firstLine="360"/>
        <w:jc w:val="both"/>
      </w:pPr>
      <w:r>
        <w:rPr>
          <w:rFonts w:ascii="Times New Roman" w:cs="Times New Roman" w:eastAsia="Times New Roman" w:hAnsi="Times New Roman"/>
          <w:sz w:val="22"/>
          <w:szCs w:val="22"/>
        </w:rPr>
        <w:t xml:space="preserve">Free-tier rate limits. The OpenRouter free tier enforces 20 requests per minute per model. The platform is therefore suited to daily or intraday-bucketed decision cycles, not high-frequency trading. A paid OpenRouter tier or a self-hosted quantised Llama-3.1-70B would remove this limit at the cost of our zero-marginal-cost claim.</w:t>
      </w:r>
    </w:p>
    <w:p>
      <w:pPr>
        <w:spacing w:after="120" w:line="360"/>
        <w:ind w:firstLine="360"/>
        <w:jc w:val="both"/>
      </w:pPr>
      <w:r>
        <w:rPr>
          <w:rFonts w:ascii="Times New Roman" w:cs="Times New Roman" w:eastAsia="Times New Roman" w:hAnsi="Times New Roman"/>
          <w:sz w:val="22"/>
          <w:szCs w:val="22"/>
        </w:rPr>
        <w:t xml:space="preserve">Free-tier data staleness. Yahoo Finance stops ticking certain FX pairs (notably USD/INR) outside of Asia hours. The staleness-gate logic in the auto-PM opener skips candidates with stale prices, but this restricts the effective trading universe outside of overlap hours. A commercial FX feed such as FXCM or OANDA would eliminate this.</w:t>
      </w:r>
    </w:p>
    <w:p>
      <w:pPr>
        <w:spacing w:after="120" w:line="360"/>
        <w:ind w:firstLine="360"/>
        <w:jc w:val="both"/>
      </w:pPr>
      <w:r>
        <w:rPr>
          <w:rFonts w:ascii="Times New Roman" w:cs="Times New Roman" w:eastAsia="Times New Roman" w:hAnsi="Times New Roman"/>
          <w:sz w:val="22"/>
          <w:szCs w:val="22"/>
        </w:rPr>
        <w:t xml:space="preserve">Small ML training sample. Even with the historical backfill producing approximately 5,200 synthetic trades, the classifier operates on a modest sample relative to institutional datasets. The validation AUC of 0.58 reflects this. Expanding the watchlist, extending the lookback to five years, and running a proper purged walk-forward cross-validation would substantially strengthen the evaluation.</w:t>
      </w:r>
    </w:p>
    <w:p>
      <w:pPr>
        <w:spacing w:after="120" w:line="360"/>
        <w:ind w:firstLine="360"/>
        <w:jc w:val="both"/>
      </w:pPr>
      <w:r>
        <w:rPr>
          <w:rFonts w:ascii="Times New Roman" w:cs="Times New Roman" w:eastAsia="Times New Roman" w:hAnsi="Times New Roman"/>
          <w:sz w:val="22"/>
          <w:szCs w:val="22"/>
        </w:rPr>
        <w:t xml:space="preserve">In-sample backtest. The OU-strategy Sharpe of 1.38 is measured in-sample. Walk-forward analysis, out-of-sample simulation, and transaction-cost-inclusive live paper trading are all required before the strategy can be considered for real deployment.</w:t>
      </w:r>
    </w:p>
    <w:p>
      <w:pPr>
        <w:spacing w:after="120" w:line="360"/>
        <w:ind w:firstLine="360"/>
        <w:jc w:val="both"/>
      </w:pPr>
      <w:r>
        <w:rPr>
          <w:rFonts w:ascii="Times New Roman" w:cs="Times New Roman" w:eastAsia="Times New Roman" w:hAnsi="Times New Roman"/>
          <w:sz w:val="22"/>
          <w:szCs w:val="22"/>
        </w:rPr>
        <w:t xml:space="preserve">Single-factor Hull–White. The Hull–White one-factor model cannot reprice caplet-floorlet skew or Bermudan-swaption volatility smile. A two-factor Cheyette stochastic-volatility model is the natural extension.</w:t>
      </w:r>
    </w:p>
    <w:p>
      <w:pPr>
        <w:spacing w:after="120" w:line="360"/>
        <w:ind w:firstLine="360"/>
        <w:jc w:val="both"/>
      </w:pPr>
      <w:r>
        <w:rPr>
          <w:rFonts w:ascii="Times New Roman" w:cs="Times New Roman" w:eastAsia="Times New Roman" w:hAnsi="Times New Roman"/>
          <w:sz w:val="22"/>
          <w:szCs w:val="22"/>
        </w:rPr>
        <w:t xml:space="preserve">SQLite scalability. SQLite is file-based and sufficient for a single-user capstone project. A multi-trader production environment would require a PostgreSQL migration. SQLAlchemy makes this a one-line DATABASE_URL change.</w:t>
      </w:r>
    </w:p>
    <w:p>
      <w:pPr>
        <w:spacing w:after="120" w:line="360"/>
        <w:ind w:firstLine="360"/>
        <w:jc w:val="both"/>
      </w:pPr>
      <w:r>
        <w:rPr>
          <w:rFonts w:ascii="Times New Roman" w:cs="Times New Roman" w:eastAsia="Times New Roman" w:hAnsi="Times New Roman"/>
          <w:sz w:val="22"/>
          <w:szCs w:val="22"/>
        </w:rPr>
        <w:t xml:space="preserve">Third-party-API dependence. Yahoo Finance, Google News, AISStream and OpenRouter all lack formal SLAs for free-tier consumers. A planned outage or sudden rate-limit tightening at any provider could silently degrade the platform.</w:t>
      </w:r>
    </w:p>
    <w:p>
      <w:pPr>
        <w:spacing w:after="160" w:before="320" w:line="360"/>
        <w:jc w:val="left"/>
      </w:pPr>
      <w:r>
        <w:rPr>
          <w:rFonts w:ascii="Times New Roman" w:cs="Times New Roman" w:eastAsia="Times New Roman" w:hAnsi="Times New Roman"/>
          <w:b/>
          <w:bCs/>
          <w:sz w:val="28"/>
          <w:szCs w:val="28"/>
        </w:rPr>
        <w:t xml:space="preserve">5.3 Practical Applications</w:t>
      </w:r>
    </w:p>
    <w:p>
      <w:pPr>
        <w:spacing w:after="120" w:line="360"/>
        <w:ind w:firstLine="360"/>
        <w:jc w:val="both"/>
      </w:pPr>
      <w:r>
        <w:rPr>
          <w:rFonts w:ascii="Times New Roman" w:cs="Times New Roman" w:eastAsia="Times New Roman" w:hAnsi="Times New Roman"/>
          <w:sz w:val="22"/>
          <w:szCs w:val="22"/>
        </w:rPr>
        <w:t xml:space="preserve">Pedagogy. Hedgyyyboo is the ideal teaching vehicle for a final-year quantitative-finance or financial-engineering course. Students exercise every step of the pipeline — from yield-curve PCA to GARCH estimation to LLM integration to AIS-based supply-chain research — on hardware they already own.</w:t>
      </w:r>
    </w:p>
    <w:p>
      <w:pPr>
        <w:spacing w:after="120" w:line="360"/>
        <w:ind w:firstLine="360"/>
        <w:jc w:val="both"/>
      </w:pPr>
      <w:r>
        <w:rPr>
          <w:rFonts w:ascii="Times New Roman" w:cs="Times New Roman" w:eastAsia="Times New Roman" w:hAnsi="Times New Roman"/>
          <w:sz w:val="22"/>
          <w:szCs w:val="22"/>
        </w:rPr>
        <w:t xml:space="preserve">Independent research. Academic researchers without access to Bloomberg can replicate sell-side research reports by leveraging the platform's live feeds and narrative generation. The reproducible PDF and DOCX output of the morning brief makes the pipeline suitable as an experimental apparatus.</w:t>
      </w:r>
    </w:p>
    <w:p>
      <w:pPr>
        <w:spacing w:after="120" w:line="360"/>
        <w:ind w:firstLine="360"/>
        <w:jc w:val="both"/>
      </w:pPr>
      <w:r>
        <w:rPr>
          <w:rFonts w:ascii="Times New Roman" w:cs="Times New Roman" w:eastAsia="Times New Roman" w:hAnsi="Times New Roman"/>
          <w:sz w:val="22"/>
          <w:szCs w:val="22"/>
        </w:rPr>
        <w:t xml:space="preserve">Retail decision support. A sophisticated retail trader can consume the Analytics equity curve, the AI-Models decision tally and the Research marine-traffic view as inputs to manual decisions. The platform does not execute real trades by default; all trade execution is stub-only paper trading.</w:t>
      </w:r>
    </w:p>
    <w:p>
      <w:pPr>
        <w:spacing w:after="120" w:line="360"/>
        <w:ind w:firstLine="360"/>
        <w:jc w:val="both"/>
      </w:pPr>
      <w:r>
        <w:rPr>
          <w:rFonts w:ascii="Times New Roman" w:cs="Times New Roman" w:eastAsia="Times New Roman" w:hAnsi="Times New Roman"/>
          <w:sz w:val="22"/>
          <w:szCs w:val="22"/>
        </w:rPr>
        <w:t xml:space="preserve">Risk-management training. Compliance officers and internal-audit staff can use the GARCH Value-at-Risk panel, the Hull–White swaption pricer and the LLM call log as a training sandbox, independent of the firm's production risk systems.</w:t>
      </w:r>
    </w:p>
    <w:p>
      <w:pPr>
        <w:spacing w:after="120" w:line="360"/>
        <w:ind w:firstLine="360"/>
        <w:jc w:val="both"/>
      </w:pPr>
      <w:r>
        <w:rPr>
          <w:rFonts w:ascii="Times New Roman" w:cs="Times New Roman" w:eastAsia="Times New Roman" w:hAnsi="Times New Roman"/>
          <w:sz w:val="22"/>
          <w:szCs w:val="22"/>
        </w:rPr>
        <w:t xml:space="preserve">Hackathon and capstone template. The Hedgyyyboo architecture (FastAPI backend + Next.js front-end + SQLite persistence + OpenRouter LLM + AISStream) generalises to many student project categories beyond finance: healthcare analytics, sports analytics, climate analytics. Forking the scaffold yields an immediate three-tier reference implementation.</w:t>
      </w:r>
    </w:p>
    <w:p>
      <w:pPr>
        <w:spacing w:after="120" w:line="360"/>
        <w:ind w:firstLine="360"/>
        <w:jc w:val="both"/>
      </w:pPr>
      <w:r>
        <w:rPr>
          <w:rFonts w:ascii="Times New Roman" w:cs="Times New Roman" w:eastAsia="Times New Roman" w:hAnsi="Times New Roman"/>
          <w:sz w:val="22"/>
          <w:szCs w:val="22"/>
        </w:rPr>
        <w:t xml:space="preserve">Regulatory-technology prototyping. Financial regulators experimenting with LLM-based supervisory analytics can use the Hedgyyyboo infrastructure to prototype explanatory engines for their VaR and stress-test outputs without incurring commercial-API bills.</w:t>
      </w:r>
    </w:p>
    <w:p>
      <w:pPr>
        <w:spacing w:after="160" w:before="320" w:line="360"/>
        <w:jc w:val="left"/>
      </w:pPr>
      <w:r>
        <w:rPr>
          <w:rFonts w:ascii="Times New Roman" w:cs="Times New Roman" w:eastAsia="Times New Roman" w:hAnsi="Times New Roman"/>
          <w:b/>
          <w:bCs/>
          <w:sz w:val="28"/>
          <w:szCs w:val="28"/>
        </w:rPr>
        <w:t xml:space="preserve">5.4 Future Development Directions</w:t>
      </w:r>
    </w:p>
    <w:p>
      <w:pPr>
        <w:spacing w:after="120" w:line="360"/>
        <w:ind w:firstLine="360"/>
        <w:jc w:val="both"/>
      </w:pPr>
      <w:r>
        <w:rPr>
          <w:rFonts w:ascii="Times New Roman" w:cs="Times New Roman" w:eastAsia="Times New Roman" w:hAnsi="Times New Roman"/>
          <w:sz w:val="22"/>
          <w:szCs w:val="22"/>
        </w:rPr>
        <w:t xml:space="preserve">Walk-forward backtesting. The most important piece of research-rigor work. A rolling-window walk-forward evaluation with six-month re-estimation periods will provide a genuinely out-of-sample performance estimate for the OU strategy.</w:t>
      </w:r>
    </w:p>
    <w:p>
      <w:pPr>
        <w:spacing w:after="120" w:line="360"/>
        <w:ind w:firstLine="360"/>
        <w:jc w:val="both"/>
      </w:pPr>
      <w:r>
        <w:rPr>
          <w:rFonts w:ascii="Times New Roman" w:cs="Times New Roman" w:eastAsia="Times New Roman" w:hAnsi="Times New Roman"/>
          <w:sz w:val="22"/>
          <w:szCs w:val="22"/>
        </w:rPr>
        <w:t xml:space="preserve">Two-factor Cheyette rates model. Replacing the single-factor Hull-White short-rate with a two-factor Cheyette stochastic-volatility model will correctly reprice caplet-floor skew and Bermudan-swaption volatility smile.</w:t>
      </w:r>
    </w:p>
    <w:p>
      <w:pPr>
        <w:spacing w:after="120" w:line="360"/>
        <w:ind w:firstLine="360"/>
        <w:jc w:val="both"/>
      </w:pPr>
      <w:r>
        <w:rPr>
          <w:rFonts w:ascii="Times New Roman" w:cs="Times New Roman" w:eastAsia="Times New Roman" w:hAnsi="Times New Roman"/>
          <w:sz w:val="22"/>
          <w:szCs w:val="22"/>
        </w:rPr>
        <w:t xml:space="preserve">Student-t GARCH with EVT tails. Migrating from Gaussian GARCH to Student-t will better capture the fat tails evident in equity returns. Extreme-value-theory-based Value-at-Risk in the far tail (1-in-1000-day scenarios) will complement the parametric 1% VaR we currently report.</w:t>
      </w:r>
    </w:p>
    <w:p>
      <w:pPr>
        <w:spacing w:after="120" w:line="360"/>
        <w:ind w:firstLine="360"/>
        <w:jc w:val="both"/>
      </w:pPr>
      <w:r>
        <w:rPr>
          <w:rFonts w:ascii="Times New Roman" w:cs="Times New Roman" w:eastAsia="Times New Roman" w:hAnsi="Times New Roman"/>
          <w:sz w:val="22"/>
          <w:szCs w:val="22"/>
        </w:rPr>
        <w:t xml:space="preserve">LLM-as-judge grounding audit. Zheng et al. [32] demonstrated that a second, typically stronger, LLM can effectively audit the factual grounding of a first model's output. An automated LLM-as-judge pipeline evaluating every generated morning brief would raise our 95% grounding rate further.</w:t>
      </w:r>
    </w:p>
    <w:p>
      <w:pPr>
        <w:spacing w:after="120" w:line="360"/>
        <w:ind w:firstLine="360"/>
        <w:jc w:val="both"/>
      </w:pPr>
      <w:r>
        <w:rPr>
          <w:rFonts w:ascii="Times New Roman" w:cs="Times New Roman" w:eastAsia="Times New Roman" w:hAnsi="Times New Roman"/>
          <w:sz w:val="22"/>
          <w:szCs w:val="22"/>
        </w:rPr>
        <w:t xml:space="preserve">Larger open-weight models. Upgrading from Gemma-3n-E4B to a quantised Llama-3.1-70B-Q4 served via a local vLLM instance would close the gap with BloombergGPT on numerical-reasoning benchmarks at the cost of requiring a consumer GPU.</w:t>
      </w:r>
    </w:p>
    <w:p>
      <w:pPr>
        <w:spacing w:after="120" w:line="360"/>
        <w:ind w:firstLine="360"/>
        <w:jc w:val="both"/>
      </w:pPr>
      <w:r>
        <w:rPr>
          <w:rFonts w:ascii="Times New Roman" w:cs="Times New Roman" w:eastAsia="Times New Roman" w:hAnsi="Times New Roman"/>
          <w:sz w:val="22"/>
          <w:szCs w:val="22"/>
        </w:rPr>
        <w:t xml:space="preserve">PostgreSQL migration. Moving the persistence layer from SQLite to PostgreSQL will unlock multi-user operation and concurrent auto-PM cycles across multiple portfolios.</w:t>
      </w:r>
    </w:p>
    <w:p>
      <w:pPr>
        <w:spacing w:after="120" w:line="360"/>
        <w:ind w:firstLine="360"/>
        <w:jc w:val="both"/>
      </w:pPr>
      <w:r>
        <w:rPr>
          <w:rFonts w:ascii="Times New Roman" w:cs="Times New Roman" w:eastAsia="Times New Roman" w:hAnsi="Times New Roman"/>
          <w:sz w:val="22"/>
          <w:szCs w:val="22"/>
        </w:rPr>
        <w:t xml:space="preserve">Paper-trading slippage model. A realistic bid-ask-spread and market-impact model will make the simulated trade engine a better proxy for real-world execution.</w:t>
      </w:r>
    </w:p>
    <w:p>
      <w:pPr>
        <w:spacing w:after="120" w:line="360"/>
        <w:ind w:firstLine="360"/>
        <w:jc w:val="both"/>
      </w:pPr>
      <w:r>
        <w:rPr>
          <w:rFonts w:ascii="Times New Roman" w:cs="Times New Roman" w:eastAsia="Times New Roman" w:hAnsi="Times New Roman"/>
          <w:sz w:val="22"/>
          <w:szCs w:val="22"/>
        </w:rPr>
        <w:t xml:space="preserve">Extension to new asset classes. Cryptocurrencies, commodities and credit-default-swap indices all have free or low-cost data and fit the existing signal-packet abstraction with minimal modification.</w:t>
      </w:r>
    </w:p>
    <w:p>
      <w:pPr>
        <w:spacing w:after="120" w:line="360"/>
        <w:ind w:firstLine="360"/>
        <w:jc w:val="both"/>
      </w:pPr>
      <w:r>
        <w:rPr>
          <w:rFonts w:ascii="Times New Roman" w:cs="Times New Roman" w:eastAsia="Times New Roman" w:hAnsi="Times New Roman"/>
          <w:sz w:val="22"/>
          <w:szCs w:val="22"/>
        </w:rPr>
        <w:t xml:space="preserve">Integration with additional alternative data. Satellite-imagery-based car-park counts, electricity-consumption flows, and shipping-container-weight estimates are all candidates to complement the existing AIS stream.</w:t>
      </w:r>
    </w:p>
    <w:p>
      <w:pPr>
        <w:spacing w:after="160" w:before="320" w:line="360"/>
        <w:jc w:val="left"/>
      </w:pPr>
      <w:r>
        <w:rPr>
          <w:rFonts w:ascii="Times New Roman" w:cs="Times New Roman" w:eastAsia="Times New Roman" w:hAnsi="Times New Roman"/>
          <w:b/>
          <w:bCs/>
          <w:sz w:val="28"/>
          <w:szCs w:val="28"/>
        </w:rPr>
        <w:t xml:space="preserve">5.5 Summary</w:t>
      </w:r>
    </w:p>
    <w:p>
      <w:pPr>
        <w:spacing w:after="120" w:line="360"/>
        <w:ind w:firstLine="360"/>
        <w:jc w:val="both"/>
      </w:pPr>
      <w:r>
        <w:rPr>
          <w:rFonts w:ascii="Times New Roman" w:cs="Times New Roman" w:eastAsia="Times New Roman" w:hAnsi="Times New Roman"/>
          <w:sz w:val="22"/>
          <w:szCs w:val="22"/>
        </w:rPr>
        <w:t xml:space="preserve">In summary, Hedgyyyboo offers seven concrete advantages spanning cost, hardware accessibility, reproducibility, observability, autonomy, alternative-data integration and multi-asset breadth. Current limitations centre on free-tier rate limits, sample size and walk-forward rigor — all addressable in future work. The platform's applications span pedagogy, research, retail trading, risk-management training, hackathon scaffolding and regulatory-technology prototyping.</w:t>
      </w:r>
    </w:p>
    <w:p>
      <w:pPr>
        <w:pageBreakBefore/>
        <w:spacing w:after="320" w:before="480" w:line="360"/>
        <w:jc w:val="center"/>
      </w:pPr>
      <w:r>
        <w:rPr>
          <w:rFonts w:ascii="Times New Roman" w:cs="Times New Roman" w:eastAsia="Times New Roman" w:hAnsi="Times New Roman"/>
          <w:b/>
          <w:bCs/>
          <w:sz w:val="36"/>
          <w:szCs w:val="36"/>
        </w:rPr>
        <w:t xml:space="preserve">Chapter 6 : Conclusion</w:t>
      </w:r>
    </w:p>
    <w:p>
      <w:pPr>
        <w:spacing w:after="120" w:line="360"/>
        <w:ind w:firstLine="360"/>
        <w:jc w:val="both"/>
      </w:pPr>
      <w:r>
        <w:rPr>
          <w:rFonts w:ascii="Times New Roman" w:cs="Times New Roman" w:eastAsia="Times New Roman" w:hAnsi="Times New Roman"/>
          <w:sz w:val="22"/>
          <w:szCs w:val="22"/>
        </w:rPr>
        <w:t xml:space="preserve">This chapter concludes the report. Section 6.1 summarises key findings. Section 6.2 articulates contributions to the field. Section 6.3 discusses how the project addresses the research problem. Section 6.4 outlines practical impact. Section 6.5 covers limitations and future directions. Section 6.6 reflects on the broader implications. Section 6.7 offers final thoughts.</w:t>
      </w:r>
    </w:p>
    <w:p>
      <w:pPr>
        <w:spacing w:after="160" w:before="320" w:line="360"/>
        <w:jc w:val="left"/>
      </w:pPr>
      <w:r>
        <w:rPr>
          <w:rFonts w:ascii="Times New Roman" w:cs="Times New Roman" w:eastAsia="Times New Roman" w:hAnsi="Times New Roman"/>
          <w:b/>
          <w:bCs/>
          <w:sz w:val="28"/>
          <w:szCs w:val="28"/>
        </w:rPr>
        <w:t xml:space="preserve">6.1 Summary of Key Findings</w:t>
      </w:r>
    </w:p>
    <w:p>
      <w:pPr>
        <w:spacing w:after="120" w:line="360"/>
        <w:ind w:firstLine="360"/>
        <w:jc w:val="both"/>
      </w:pPr>
      <w:r>
        <w:rPr>
          <w:rFonts w:ascii="Times New Roman" w:cs="Times New Roman" w:eastAsia="Times New Roman" w:hAnsi="Times New Roman"/>
          <w:sz w:val="22"/>
          <w:szCs w:val="22"/>
        </w:rPr>
        <w:t xml:space="preserve">This research set out to build an open-source multi-asset quantitative research terminal that matches institutional incumbents on analytical depth while remaining free to run on commodity hardware. After seventeen weeks of development and empirical validation, we have shown this is achievable and reproducible. The technical side performed as expected across every subsystem. Principal Component Analysis recovers Litterman–Scheinkman's canonical three-factor decomposition at 98.7% variance share. Ornstein–Uhlenbeck half-life estimation is accurate to within 1.4 days at 95% bootstrap confidence. A simple OU mean-reversion strategy produces a 1.38 backtested Sharpe gross of transaction cost. GARCH(1,1) passes Kupiec's unconditional-coverage test on 94% of a fifty-stock universe. Google's Gemma-3n-E4B-it delivers 95% factually-grounded morning briefs in 7.2 seconds. The AISStream WebSocket consumer caches over 15,000 live ships in under 60 seconds. Every LLM call is persisted to SQLite and surfaced through a dedicated observability desk.</w:t>
      </w:r>
    </w:p>
    <w:p>
      <w:pPr>
        <w:spacing w:after="120" w:line="360"/>
        <w:ind w:firstLine="360"/>
        <w:jc w:val="both"/>
      </w:pPr>
      <w:r>
        <w:rPr>
          <w:rFonts w:ascii="Times New Roman" w:cs="Times New Roman" w:eastAsia="Times New Roman" w:hAnsi="Times New Roman"/>
          <w:sz w:val="22"/>
          <w:szCs w:val="22"/>
        </w:rPr>
        <w:t xml:space="preserve">The autonomous trade engine closes positions actively through a priority-ordered rule system of stop-loss, take-profit, trailing stop and time stop. Market-hours gating prevents the opening of positions on closed desks. The XGBoost screener produces a validation AUC of approximately 0.58 on a training sample of 5,200 historically-backfilled synthetic trades, which is modest but honest given the data size. All of this runs on a single commodity laptop with no paid subscriptions.</w:t>
      </w:r>
    </w:p>
    <w:p>
      <w:pPr>
        <w:spacing w:after="80" w:before="200"/>
        <w:jc w:val="center"/>
      </w:pPr>
      <w:r>
        <w:drawing>
          <wp:inline distT="0" distB="0" distL="0" distR="0">
            <wp:extent cx="4476750" cy="2476500"/>
            <wp:effectExtent t="0" r="0" b="0" l="0"/>
            <wp:docPr id="1" name="figF_radar.png" descr="Hedgyyyboo qualitative internal-audit assessment across Grounding, Latency, Coverage, Breadth, Zero-Cost and Reproducibility (scale 1-5)." title="Hedgyyyboo qualitative internal-audit assessment across Grounding, Latency, Coverage, Breadth, Zero-Cost and Reproducibility (scal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7650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11. </w:t>
      </w:r>
      <w:r>
        <w:rPr>
          <w:rFonts w:ascii="Times New Roman" w:cs="Times New Roman" w:eastAsia="Times New Roman" w:hAnsi="Times New Roman"/>
          <w:i/>
          <w:iCs/>
          <w:sz w:val="22"/>
          <w:szCs w:val="22"/>
        </w:rPr>
        <w:t xml:space="preserve">Hedgyyyboo qualitative internal-audit assessment across Grounding, Latency, Coverage, Breadth, Zero-Cost and Reproducibility (scale 1-5).</w:t>
      </w:r>
    </w:p>
    <w:p>
      <w:pPr>
        <w:spacing w:after="160" w:before="320" w:line="360"/>
        <w:jc w:val="left"/>
      </w:pPr>
      <w:r>
        <w:rPr>
          <w:rFonts w:ascii="Times New Roman" w:cs="Times New Roman" w:eastAsia="Times New Roman" w:hAnsi="Times New Roman"/>
          <w:b/>
          <w:bCs/>
          <w:sz w:val="28"/>
          <w:szCs w:val="28"/>
        </w:rPr>
        <w:t xml:space="preserve">6.2 Contributions to the Field</w:t>
      </w:r>
    </w:p>
    <w:p>
      <w:pPr>
        <w:spacing w:after="120" w:line="360"/>
        <w:ind w:firstLine="360"/>
        <w:jc w:val="both"/>
      </w:pPr>
      <w:r>
        <w:rPr>
          <w:rFonts w:ascii="Times New Roman" w:cs="Times New Roman" w:eastAsia="Times New Roman" w:hAnsi="Times New Roman"/>
          <w:sz w:val="22"/>
          <w:szCs w:val="22"/>
        </w:rPr>
        <w:t xml:space="preserve">This work contributes a reproducible reference implementation that is, to our knowledge, the first open-source platform to unify seven classical stochastic-calculus pricing engines, a retrieval-augmented LLM narrative layer, an autonomous rule-based trade engine with trailing stops and market-hours gating, an XGBoost trade screener with historical-simulation bootstrap, alternative marine-AIS traffic research, and institutional-grade LLM observability — all in a single code base, under a permissive licence, on commodity hardware.</w:t>
      </w:r>
    </w:p>
    <w:p>
      <w:pPr>
        <w:spacing w:after="120" w:line="360"/>
        <w:ind w:firstLine="360"/>
        <w:jc w:val="both"/>
      </w:pPr>
      <w:r>
        <w:rPr>
          <w:rFonts w:ascii="Times New Roman" w:cs="Times New Roman" w:eastAsia="Times New Roman" w:hAnsi="Times New Roman"/>
          <w:sz w:val="22"/>
          <w:szCs w:val="22"/>
        </w:rPr>
        <w:t xml:space="preserve">From an engineering-lessons perspective, three specific findings have been documented that are not in prior literature. The Gemma-3n-E4B-it model rejects system-role messages with HTTP 400 and must receive the system prompt merged into the user turn; this is mandatory knowledge for any production RAG stack targeting the OpenRouter free tier. GARCH fits via the arch library can segfault on degenerate low-variance windows, which must be handled with per-window try/except guards during large-scale historical simulation. And GDELT's document-search API is aggressively rate-limited at the edge and requires a 30-minute cache plus a background pre-warm thread to be usable in an interactive-desk context.</w:t>
      </w:r>
    </w:p>
    <w:p>
      <w:pPr>
        <w:spacing w:after="120" w:line="360"/>
        <w:ind w:firstLine="360"/>
        <w:jc w:val="both"/>
      </w:pPr>
      <w:r>
        <w:rPr>
          <w:rFonts w:ascii="Times New Roman" w:cs="Times New Roman" w:eastAsia="Times New Roman" w:hAnsi="Times New Roman"/>
          <w:sz w:val="22"/>
          <w:szCs w:val="22"/>
        </w:rPr>
        <w:t xml:space="preserve">From a research-methodology perspective, the historical-backfill pipeline with OHLC-based stop detection, round-trip transaction-cost haircuts and duration-weighted rates PnL is a concrete demonstration of how a small team can generate thousands of training samples from public data without cold-starting an ML model on zero labels. The platform's entire training dataset is persisted, reproducible, and inspectable.</w:t>
      </w:r>
    </w:p>
    <w:p>
      <w:pPr>
        <w:spacing w:after="160" w:before="320" w:line="360"/>
        <w:jc w:val="left"/>
      </w:pPr>
      <w:r>
        <w:rPr>
          <w:rFonts w:ascii="Times New Roman" w:cs="Times New Roman" w:eastAsia="Times New Roman" w:hAnsi="Times New Roman"/>
          <w:b/>
          <w:bCs/>
          <w:sz w:val="28"/>
          <w:szCs w:val="28"/>
        </w:rPr>
        <w:t xml:space="preserve">6.3 Addressing the Research Problem</w:t>
      </w:r>
    </w:p>
    <w:p>
      <w:pPr>
        <w:spacing w:after="120" w:line="360"/>
        <w:ind w:firstLine="360"/>
        <w:jc w:val="both"/>
      </w:pPr>
      <w:r>
        <w:rPr>
          <w:rFonts w:ascii="Times New Roman" w:cs="Times New Roman" w:eastAsia="Times New Roman" w:hAnsi="Times New Roman"/>
          <w:sz w:val="22"/>
          <w:szCs w:val="22"/>
        </w:rPr>
        <w:t xml:space="preserve">We started with three problems. Traditional multi-asset research relies on fragmented tooling and subjective evaluation. Institutional tooling costs tens of thousands of dollars per seat. No open-source system integrates classical stochastic calculus, modern LLM narrative generation, autonomous trade execution, ML screening, and alternative data in a single reproducible artefact.</w:t>
      </w:r>
    </w:p>
    <w:p>
      <w:pPr>
        <w:spacing w:after="120" w:line="360"/>
        <w:ind w:firstLine="360"/>
        <w:jc w:val="both"/>
      </w:pPr>
      <w:r>
        <w:rPr>
          <w:rFonts w:ascii="Times New Roman" w:cs="Times New Roman" w:eastAsia="Times New Roman" w:hAnsi="Times New Roman"/>
          <w:sz w:val="22"/>
          <w:szCs w:val="22"/>
        </w:rPr>
        <w:t xml:space="preserve">The platform's integrated design addresses all three. FX, equity, rates and marine-traffic live on a single backend that shares a single ledger and a single LLM-call log. Every analytical output has a traceable JSON contract that feeds both the UI and the LLM prompt builder. Geography no longer matters when the whole stack can be cloned from GitHub, populated with free API keys in ten minutes, and run on a student laptop.</w:t>
      </w:r>
    </w:p>
    <w:p>
      <w:pPr>
        <w:spacing w:after="120" w:line="360"/>
        <w:ind w:firstLine="360"/>
        <w:jc w:val="both"/>
      </w:pPr>
      <w:r>
        <w:rPr>
          <w:rFonts w:ascii="Times New Roman" w:cs="Times New Roman" w:eastAsia="Times New Roman" w:hAnsi="Times New Roman"/>
          <w:sz w:val="22"/>
          <w:szCs w:val="22"/>
        </w:rPr>
        <w:t xml:space="preserve">The subjectivity problem is addressed by rule-based close logic, structured JSON LLM decisions, and the ML-screener's probability output — each of which provides a numeric anchor for what would otherwise be qualitative judgment. The cost problem is addressed by the comprehensive use of free-tier data and inference. The fragmentation problem is addressed by the unified paper-trades table, the unified signal-packet abstraction, and the single LLM call log that is shared across every desk.</w:t>
      </w:r>
    </w:p>
    <w:p>
      <w:pPr>
        <w:spacing w:after="160" w:before="320" w:line="360"/>
        <w:jc w:val="left"/>
      </w:pPr>
      <w:r>
        <w:rPr>
          <w:rFonts w:ascii="Times New Roman" w:cs="Times New Roman" w:eastAsia="Times New Roman" w:hAnsi="Times New Roman"/>
          <w:b/>
          <w:bCs/>
          <w:sz w:val="28"/>
          <w:szCs w:val="28"/>
        </w:rPr>
        <w:t xml:space="preserve">6.4 Practical Impact and Real-World Value</w:t>
      </w:r>
    </w:p>
    <w:p>
      <w:pPr>
        <w:spacing w:after="120" w:line="360"/>
        <w:ind w:firstLine="360"/>
        <w:jc w:val="both"/>
      </w:pPr>
      <w:r>
        <w:rPr>
          <w:rFonts w:ascii="Times New Roman" w:cs="Times New Roman" w:eastAsia="Times New Roman" w:hAnsi="Times New Roman"/>
          <w:sz w:val="22"/>
          <w:szCs w:val="22"/>
        </w:rPr>
        <w:t xml:space="preserve">Different audiences derive different value from the platform. Individual students get institutional-grade analytical infrastructure for free and build portfolio pieces on top. Small funds and boutique research shops get a starting scaffold that they can extend with proprietary signals rather than rebuilding infrastructure. University departments get a teaching vehicle that covers seven canonical finance models plus modern LLM and ML techniques in one code base.</w:t>
      </w:r>
    </w:p>
    <w:p>
      <w:pPr>
        <w:spacing w:after="120" w:line="360"/>
        <w:ind w:firstLine="360"/>
        <w:jc w:val="both"/>
      </w:pPr>
      <w:r>
        <w:rPr>
          <w:rFonts w:ascii="Times New Roman" w:cs="Times New Roman" w:eastAsia="Times New Roman" w:hAnsi="Times New Roman"/>
          <w:sz w:val="22"/>
          <w:szCs w:val="22"/>
        </w:rPr>
        <w:t xml:space="preserve">The open-source release also creates a durable public good. Subsequent capstone cohorts can fork the repository, extend it with new models or alternative data sources, and contribute improvements back through standard GitHub pull requests. The reproducibility of the research claim — every figure in this report can be regenerated from the public code and public data — supports external validation.</w:t>
      </w:r>
    </w:p>
    <w:p>
      <w:pPr>
        <w:spacing w:after="120" w:line="360"/>
        <w:ind w:firstLine="360"/>
        <w:jc w:val="both"/>
      </w:pPr>
      <w:r>
        <w:rPr>
          <w:rFonts w:ascii="Times New Roman" w:cs="Times New Roman" w:eastAsia="Times New Roman" w:hAnsi="Times New Roman"/>
          <w:sz w:val="22"/>
          <w:szCs w:val="22"/>
        </w:rPr>
        <w:t xml:space="preserve">The injury-prevention-and-risk-management analogy from healthcare applies here: the platform's explicit close rules, market-hours gating and ML screener serve as guardrails that prevent the kind of silent losses that come from over-trading, trading on stale data, or trading during off-hours. Any deployed extension of the platform benefits from these guardrails by default.</w:t>
      </w:r>
    </w:p>
    <w:p>
      <w:pPr>
        <w:spacing w:after="160" w:before="320" w:line="360"/>
        <w:jc w:val="left"/>
      </w:pPr>
      <w:r>
        <w:rPr>
          <w:rFonts w:ascii="Times New Roman" w:cs="Times New Roman" w:eastAsia="Times New Roman" w:hAnsi="Times New Roman"/>
          <w:b/>
          <w:bCs/>
          <w:sz w:val="28"/>
          <w:szCs w:val="28"/>
        </w:rPr>
        <w:t xml:space="preserve">6.5 Limitations and Future Directions</w:t>
      </w:r>
    </w:p>
    <w:p>
      <w:pPr>
        <w:spacing w:after="120" w:line="360"/>
        <w:ind w:firstLine="360"/>
        <w:jc w:val="both"/>
      </w:pPr>
      <w:r>
        <w:rPr>
          <w:rFonts w:ascii="Times New Roman" w:cs="Times New Roman" w:eastAsia="Times New Roman" w:hAnsi="Times New Roman"/>
          <w:sz w:val="22"/>
          <w:szCs w:val="22"/>
        </w:rPr>
        <w:t xml:space="preserve">Honest limitations must be acknowledged. Free-tier rate limits cap LLM throughput at 20 requests per minute, which precludes high-frequency use. Yahoo Finance data is stale for some FX pairs outside Asia hours. The XGBoost screener's 0.58 validation AUC is modest by absolute standards, reflecting the small training sample. The OU-strategy backtest is in-sample. The Hull–White model cannot reprice certain swaption families. SQLite persistence is single-user. Third-party APIs lack SLA.</w:t>
      </w:r>
    </w:p>
    <w:p>
      <w:pPr>
        <w:spacing w:after="120" w:line="360"/>
        <w:ind w:firstLine="360"/>
        <w:jc w:val="both"/>
      </w:pPr>
      <w:r>
        <w:rPr>
          <w:rFonts w:ascii="Times New Roman" w:cs="Times New Roman" w:eastAsia="Times New Roman" w:hAnsi="Times New Roman"/>
          <w:sz w:val="22"/>
          <w:szCs w:val="22"/>
        </w:rPr>
        <w:t xml:space="preserve">Future work has been enumerated in Chapter 5: walk-forward backtesting, two-factor Cheyette rates, Student-t GARCH with EVT tails, LLM-as-judge grounding audit, larger quantised open-weight models, PostgreSQL migration, paper-trading slippage model, extension to crypto, commodities and credit indices, and integration with additional alternative data such as satellite imagery.</w:t>
      </w:r>
    </w:p>
    <w:p>
      <w:pPr>
        <w:spacing w:after="120" w:line="360"/>
        <w:ind w:firstLine="360"/>
        <w:jc w:val="both"/>
      </w:pPr>
      <w:r>
        <w:rPr>
          <w:rFonts w:ascii="Times New Roman" w:cs="Times New Roman" w:eastAsia="Times New Roman" w:hAnsi="Times New Roman"/>
          <w:sz w:val="22"/>
          <w:szCs w:val="22"/>
        </w:rPr>
        <w:t xml:space="preserve">Three of these — walk-forward backtesting, PostgreSQL migration and LLM-as-judge grounding audit — are achievable within a single summer of further development and would materially strengthen the platform's standing as a production-grade research terminal.</w:t>
      </w:r>
    </w:p>
    <w:p>
      <w:pPr>
        <w:spacing w:after="160" w:before="320" w:line="360"/>
        <w:jc w:val="left"/>
      </w:pPr>
      <w:r>
        <w:rPr>
          <w:rFonts w:ascii="Times New Roman" w:cs="Times New Roman" w:eastAsia="Times New Roman" w:hAnsi="Times New Roman"/>
          <w:b/>
          <w:bCs/>
          <w:sz w:val="28"/>
          <w:szCs w:val="28"/>
        </w:rPr>
        <w:t xml:space="preserve">6.6 Broader Implications for Quantitative Finance</w:t>
      </w:r>
    </w:p>
    <w:p>
      <w:pPr>
        <w:spacing w:after="120" w:line="360"/>
        <w:ind w:firstLine="360"/>
        <w:jc w:val="both"/>
      </w:pPr>
      <w:r>
        <w:rPr>
          <w:rFonts w:ascii="Times New Roman" w:cs="Times New Roman" w:eastAsia="Times New Roman" w:hAnsi="Times New Roman"/>
          <w:sz w:val="22"/>
          <w:szCs w:val="22"/>
        </w:rPr>
        <w:t xml:space="preserve">This project demonstrates that the traditional barriers between institutional and independent quantitative finance — cost, tooling, data access — have substantially eroded. The marginal capital required to run research that once demanded a Bloomberg Terminal plus a Reuters Eikon plus an AIS-feed subscription approaches zero for a motivated student with a laptop and an internet connection.</w:t>
      </w:r>
    </w:p>
    <w:p>
      <w:pPr>
        <w:spacing w:after="120" w:line="360"/>
        <w:ind w:firstLine="360"/>
        <w:jc w:val="both"/>
      </w:pPr>
      <w:r>
        <w:rPr>
          <w:rFonts w:ascii="Times New Roman" w:cs="Times New Roman" w:eastAsia="Times New Roman" w:hAnsi="Times New Roman"/>
          <w:sz w:val="22"/>
          <w:szCs w:val="22"/>
        </w:rPr>
        <w:t xml:space="preserve">As LLMs continue to scale and free-tier APIs continue to expand, the democratising trend will accelerate. Human researchers will not disappear; their role will shift from operational drudgery (running the same calculation 28 times a day across 28 FX pairs) toward higher-order tasks: choosing which signals to investigate, interpreting anomalies, communicating narratives to stakeholders, and designing new kinds of alternative-data feeds.</w:t>
      </w:r>
    </w:p>
    <w:p>
      <w:pPr>
        <w:spacing w:after="120" w:line="360"/>
        <w:ind w:firstLine="360"/>
        <w:jc w:val="both"/>
      </w:pPr>
      <w:r>
        <w:rPr>
          <w:rFonts w:ascii="Times New Roman" w:cs="Times New Roman" w:eastAsia="Times New Roman" w:hAnsi="Times New Roman"/>
          <w:sz w:val="22"/>
          <w:szCs w:val="22"/>
        </w:rPr>
        <w:t xml:space="preserve">The platform also serves as a concrete demonstration that AI-assisted workflow in finance does not need to be a black box. Every decision the platform makes is traceable: to a specific signal packet, to a specific LLM prompt and response, to a specific ML probability, and to a specific close rule. This transparency stands in stark contrast to the opaque proprietary pipelines that dominate the industry and is, in our view, a necessary condition for AI-in-finance to mature responsibly.</w:t>
      </w:r>
    </w:p>
    <w:p>
      <w:pPr>
        <w:spacing w:after="160" w:before="320" w:line="360"/>
        <w:jc w:val="left"/>
      </w:pPr>
      <w:r>
        <w:rPr>
          <w:rFonts w:ascii="Times New Roman" w:cs="Times New Roman" w:eastAsia="Times New Roman" w:hAnsi="Times New Roman"/>
          <w:b/>
          <w:bCs/>
          <w:sz w:val="28"/>
          <w:szCs w:val="28"/>
        </w:rPr>
        <w:t xml:space="preserve">6.7 Final Thoughts</w:t>
      </w:r>
    </w:p>
    <w:p>
      <w:pPr>
        <w:spacing w:after="120" w:line="360"/>
        <w:ind w:firstLine="360"/>
        <w:jc w:val="both"/>
      </w:pPr>
      <w:r>
        <w:rPr>
          <w:rFonts w:ascii="Times New Roman" w:cs="Times New Roman" w:eastAsia="Times New Roman" w:hAnsi="Times New Roman"/>
          <w:sz w:val="22"/>
          <w:szCs w:val="22"/>
        </w:rPr>
        <w:t xml:space="preserve">Hedgyyyboo began as a capstone project and ended as a small but serious piece of open-source infrastructure. It covers more ground than most capstones — seven stochastic-calculus models, a retrieval-augmented LLM layer, an autonomous trade engine, an ML screener with historical bootstrap, a marine-AIS research desk, an LLM-observability dashboard, and a five-desk front-end. It runs on a student laptop. It costs nothing to operate. Every decision it makes is auditable.</w:t>
      </w:r>
    </w:p>
    <w:p>
      <w:pPr>
        <w:spacing w:after="120" w:line="360"/>
        <w:ind w:firstLine="360"/>
        <w:jc w:val="both"/>
      </w:pPr>
      <w:r>
        <w:rPr>
          <w:rFonts w:ascii="Times New Roman" w:cs="Times New Roman" w:eastAsia="Times New Roman" w:hAnsi="Times New Roman"/>
          <w:sz w:val="22"/>
          <w:szCs w:val="22"/>
        </w:rPr>
        <w:t xml:space="preserve">The platform is not a finished product and does not pretend to be. The backtest is in-sample. The ML validation AUC is 0.58, not 0.90. Many future-work items remain. But the architecture, the reproducibility, and the integration of alternative data with classical finance and modern LLMs is a concrete step forward.</w:t>
      </w:r>
    </w:p>
    <w:p>
      <w:pPr>
        <w:spacing w:after="120" w:line="360"/>
        <w:ind w:firstLine="360"/>
        <w:jc w:val="both"/>
      </w:pPr>
      <w:r>
        <w:rPr>
          <w:rFonts w:ascii="Times New Roman" w:cs="Times New Roman" w:eastAsia="Times New Roman" w:hAnsi="Times New Roman"/>
          <w:sz w:val="22"/>
          <w:szCs w:val="22"/>
        </w:rPr>
        <w:t xml:space="preserve">If this work helps a single next-cohort student build something more ambitious on top of this scaffold, or helps a boutique quantitative shop save three months of infrastructure work, the effort will have been worthwhile. The numbers suggest the pieces are in place. The next test will be how others use and extend them.</w:t>
      </w:r>
    </w:p>
    <w:p>
      <w:pPr>
        <w:spacing w:after="160" w:before="320" w:line="360"/>
        <w:jc w:val="left"/>
      </w:pPr>
      <w:r>
        <w:rPr>
          <w:rFonts w:ascii="Times New Roman" w:cs="Times New Roman" w:eastAsia="Times New Roman" w:hAnsi="Times New Roman"/>
          <w:b/>
          <w:bCs/>
          <w:sz w:val="28"/>
          <w:szCs w:val="28"/>
        </w:rPr>
        <w:t xml:space="preserve">6.8 Summary</w:t>
      </w:r>
    </w:p>
    <w:p>
      <w:pPr>
        <w:spacing w:after="120" w:line="360"/>
        <w:ind w:firstLine="360"/>
        <w:jc w:val="both"/>
      </w:pPr>
      <w:r>
        <w:rPr>
          <w:rFonts w:ascii="Times New Roman" w:cs="Times New Roman" w:eastAsia="Times New Roman" w:hAnsi="Times New Roman"/>
          <w:sz w:val="22"/>
          <w:szCs w:val="22"/>
        </w:rPr>
        <w:t xml:space="preserve">In summary, this report documents Hedgyyyboo — an open-source multi-asset quantitative research terminal that combines classical stochastic-calculus pricing, retrieval-augmented LLM narrative, autonomous rule-based trading, ML screener bootstrapped on synthetic backtests, marine-AIS alternative data, and institutional-grade LLM observability on commodity hardware at zero marginal cost. The code base is public at github.com/vedantkasargodya/hedgyyyboo-capstone.</w:t>
      </w:r>
    </w:p>
    <w:p>
      <w:pPr>
        <w:pageBreakBefore/>
        <w:spacing w:after="360" w:before="480" w:line="360"/>
        <w:jc w:val="center"/>
      </w:pPr>
      <w:r>
        <w:rPr>
          <w:rFonts w:ascii="Times New Roman" w:cs="Times New Roman" w:eastAsia="Times New Roman" w:hAnsi="Times New Roman"/>
          <w:b/>
          <w:bCs/>
          <w:sz w:val="34"/>
          <w:szCs w:val="34"/>
        </w:rPr>
        <w:t xml:space="preserve">References</w:t>
      </w:r>
    </w:p>
    <w:p>
      <w:pPr>
        <w:spacing w:after="120" w:line="300"/>
        <w:ind w:left="360" w:hanging="36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Black, F., Scholes, M.: The Pricing of Options and Corporate Liabilities. Journal of Political Economy, vol. 81, no. 3, pp. 637–654 (1973).</w:t>
      </w:r>
    </w:p>
    <w:p>
      <w:pPr>
        <w:spacing w:after="120" w:line="300"/>
        <w:ind w:left="360" w:hanging="36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Heston, S. L.: A Closed-Form Solution for Options with Stochastic Volatility with Applications to Bond and Currency Options. Review of Financial Studies, vol. 6, no. 2, pp. 327–343 (1993).</w:t>
      </w:r>
    </w:p>
    <w:p>
      <w:pPr>
        <w:spacing w:after="120" w:line="300"/>
        <w:ind w:left="360" w:hanging="36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Hull, J., White, A.: Pricing Interest-Rate-Derivative Securities. Review of Financial Studies, vol. 3, no. 4, pp. 573–592 (1990).</w:t>
      </w:r>
    </w:p>
    <w:p>
      <w:pPr>
        <w:spacing w:after="120" w:line="300"/>
        <w:ind w:left="360" w:hanging="36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Vasicek, O.: An Equilibrium Characterization of the Term Structure. Journal of Financial Economics, vol. 5, no. 2, pp. 177–188 (1977).</w:t>
      </w:r>
    </w:p>
    <w:p>
      <w:pPr>
        <w:spacing w:after="120" w:line="300"/>
        <w:ind w:left="360" w:hanging="36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Uhlenbeck, G. E., Ornstein, L. S.: On the Theory of the Brownian Motion. Physical Review, vol. 36, pp. 823–841 (1930).</w:t>
      </w:r>
    </w:p>
    <w:p>
      <w:pPr>
        <w:spacing w:after="120" w:line="300"/>
        <w:ind w:left="360" w:hanging="36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Vidyamurthy, G.: Pairs Trading: Quantitative Methods and Analysis. Wiley, 2004.</w:t>
      </w:r>
    </w:p>
    <w:p>
      <w:pPr>
        <w:spacing w:after="120" w:line="300"/>
        <w:ind w:left="360" w:hanging="36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Aït-Sahalia, Y.: Maximum Likelihood Estimation of Discretely Sampled Diffusions. Econometrica, vol. 70, no. 1, pp. 223–262 (2002).</w:t>
      </w:r>
    </w:p>
    <w:p>
      <w:pPr>
        <w:spacing w:after="120" w:line="300"/>
        <w:ind w:left="360" w:hanging="36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Gatheral, J.: The Volatility Surface: A Practitioner's Guide. Wiley, 2006.</w:t>
      </w:r>
    </w:p>
    <w:p>
      <w:pPr>
        <w:spacing w:after="120" w:line="300"/>
        <w:ind w:left="360" w:hanging="36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Jamshidian, F.: An Exact Bond Option Formula. Journal of Finance, vol. 44, no. 1, pp. 205–209 (1989).</w:t>
      </w:r>
    </w:p>
    <w:p>
      <w:pPr>
        <w:spacing w:after="120" w:line="300"/>
        <w:ind w:left="360" w:hanging="36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Andersen, L.: Simple and Efficient Simulation of the Heston Model. Journal of Computational Finance, vol. 11, no. 3, pp. 1–42 (2008).</w:t>
      </w:r>
    </w:p>
    <w:p>
      <w:pPr>
        <w:spacing w:after="120" w:line="300"/>
        <w:ind w:left="360" w:hanging="36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Litterman, R., Scheinkman, J.: Common Factors Affecting Bond Returns. Journal of Fixed Income, vol. 1, no. 1, pp. 54–61 (1991).</w:t>
      </w:r>
    </w:p>
    <w:p>
      <w:pPr>
        <w:spacing w:after="120" w:line="300"/>
        <w:ind w:left="360" w:hanging="36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Nelson, C. R., Siegel, A. F.: Parsimonious Modeling of Yield Curves. Journal of Business, vol. 60, no. 4, pp. 473–489 (1987).</w:t>
      </w:r>
    </w:p>
    <w:p>
      <w:pPr>
        <w:spacing w:after="120" w:line="300"/>
        <w:ind w:left="360" w:hanging="36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Svensson, L. E. O.: Estimating and Interpreting Forward Interest Rates: Sweden 1992–1994. NBER Working Paper 4871 (1994).</w:t>
      </w:r>
    </w:p>
    <w:p>
      <w:pPr>
        <w:spacing w:after="120" w:line="300"/>
        <w:ind w:left="360" w:hanging="36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Diebold, F. X., Li, C.: Forecasting the Term Structure of Government Bond Yields. Journal of Econometrics, vol. 130, pp. 337–364 (2006).</w:t>
      </w:r>
    </w:p>
    <w:p>
      <w:pPr>
        <w:spacing w:after="120" w:line="300"/>
        <w:ind w:left="360" w:hanging="36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Engle, R. F.: Autoregressive Conditional Heteroskedasticity. Econometrica, vol. 50, no. 4, pp. 987–1007 (1982).</w:t>
      </w:r>
    </w:p>
    <w:p>
      <w:pPr>
        <w:spacing w:after="120" w:line="300"/>
        <w:ind w:left="360" w:hanging="36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Bollerslev, T.: Generalized Autoregressive Conditional Heteroskedasticity. Journal of Econometrics, vol. 31, no. 3, pp. 307–327 (1986).</w:t>
      </w:r>
    </w:p>
    <w:p>
      <w:pPr>
        <w:spacing w:after="120" w:line="300"/>
        <w:ind w:left="360" w:hanging="36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Bollerslev, T.: A Conditionally Heteroskedastic Time-Series Model. Review of Economics and Statistics, vol. 69, pp. 542–547 (1987).</w:t>
      </w:r>
    </w:p>
    <w:p>
      <w:pPr>
        <w:spacing w:after="120" w:line="300"/>
        <w:ind w:left="360" w:hanging="36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McNeil, A. J., Frey, R., Embrechts, P.: Quantitative Risk Management. Princeton University Press, 2nd Ed. (2015).</w:t>
      </w:r>
    </w:p>
    <w:p>
      <w:pPr>
        <w:spacing w:after="120" w:line="300"/>
        <w:ind w:left="360" w:hanging="36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Mandelbrot, B. B., van Ness, J. W.: Fractional Brownian Motions. SIAM Review, vol. 10, no. 4, pp. 422–437 (1968).</w:t>
      </w:r>
    </w:p>
    <w:p>
      <w:pPr>
        <w:spacing w:after="120" w:line="300"/>
        <w:ind w:left="360" w:hanging="36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Hurst, H. E.: Long-Term Storage Capacity of Reservoirs. Transactions ASCE, vol. 116, pp. 770–808 (1951).</w:t>
      </w:r>
    </w:p>
    <w:p>
      <w:pPr>
        <w:spacing w:after="120" w:line="300"/>
        <w:ind w:left="360" w:hanging="36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Kidger, P., Foster, J., Li, X., Oberhauser, H., Lyons, T.: Neural SDEs as Infinite-Dimensional GANs. In: Proc. ICML (2021).</w:t>
      </w:r>
    </w:p>
    <w:p>
      <w:pPr>
        <w:spacing w:after="120" w:line="300"/>
        <w:ind w:left="360" w:hanging="36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Chen, R. T. Q., Rubanova, Y., Bettencourt, J., Duvenaud, D.: Neural Ordinary Differential Equations. In: Proc. NeurIPS (2018).</w:t>
      </w:r>
    </w:p>
    <w:p>
      <w:pPr>
        <w:spacing w:after="120" w:line="300"/>
        <w:ind w:left="360" w:hanging="36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Tzen, B., Raginsky, M.: Theoretical Guarantees for Sampling in Generative Models. In: Proc. COLT (2019).</w:t>
      </w:r>
    </w:p>
    <w:p>
      <w:pPr>
        <w:spacing w:after="120" w:line="300"/>
        <w:ind w:left="360" w:hanging="36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Lewis, P., et al.: Retrieval-Augmented Generation for Knowledge-Intensive NLP Tasks. In: Proc. NeurIPS (2020).</w:t>
      </w:r>
    </w:p>
    <w:p>
      <w:pPr>
        <w:spacing w:after="120" w:line="300"/>
        <w:ind w:left="360" w:hanging="36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Gao, Y., et al.: Retrieval-Augmented Generation for LLMs: A Survey. arXiv:2312.10997 (2023).</w:t>
      </w:r>
    </w:p>
    <w:p>
      <w:pPr>
        <w:spacing w:after="120" w:line="300"/>
        <w:ind w:left="360" w:hanging="360"/>
        <w:jc w:val="both"/>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Araci, D.: FinBERT: Financial Sentiment Analysis with Pre-Trained Language Models. arXiv:1908.10063 (2019).</w:t>
      </w:r>
    </w:p>
    <w:p>
      <w:pPr>
        <w:spacing w:after="120" w:line="300"/>
        <w:ind w:left="360" w:hanging="360"/>
        <w:jc w:val="both"/>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Yang, H., Liu, X.-Y., Wang, C. D.: FinGPT: Open-Source Financial Large Language Models. arXiv:2306.06031 (2023).</w:t>
      </w:r>
    </w:p>
    <w:p>
      <w:pPr>
        <w:spacing w:after="120" w:line="300"/>
        <w:ind w:left="360" w:hanging="360"/>
        <w:jc w:val="both"/>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Wu, S., et al.: BloombergGPT: A Large Language Model for Finance. arXiv:2303.17564 (2023).</w:t>
      </w:r>
    </w:p>
    <w:p>
      <w:pPr>
        <w:spacing w:after="120" w:line="300"/>
        <w:ind w:left="360" w:hanging="360"/>
        <w:jc w:val="both"/>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Gemma Team, Google DeepMind: Gemma 3: Open Models Based on Gemini Research and Technology. Google Technical Report (2025).</w:t>
      </w:r>
    </w:p>
    <w:p>
      <w:pPr>
        <w:spacing w:after="120" w:line="300"/>
        <w:ind w:left="360" w:hanging="360"/>
        <w:jc w:val="both"/>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Bang, Y., et al.: A Multitask, Multilingual, Multimodal Evaluation of ChatGPT. arXiv:2302.04023 (2023).</w:t>
      </w:r>
    </w:p>
    <w:p>
      <w:pPr>
        <w:spacing w:after="120" w:line="300"/>
        <w:ind w:left="360" w:hanging="360"/>
        <w:jc w:val="both"/>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Wolf, T., et al.: HuggingFace Transformers: State-of-the-art NLP. arXiv:1910.03771 (2020).</w:t>
      </w:r>
    </w:p>
    <w:p>
      <w:pPr>
        <w:spacing w:after="120" w:line="300"/>
        <w:ind w:left="360" w:hanging="360"/>
        <w:jc w:val="both"/>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Zheng, L., et al.: Judging LLM-as-a-Judge with MT-Bench and Chatbot Arena. In: Proc. NeurIPS (2023).</w:t>
      </w:r>
    </w:p>
    <w:p>
      <w:pPr>
        <w:spacing w:after="120" w:line="300"/>
        <w:ind w:left="360" w:hanging="360"/>
        <w:jc w:val="both"/>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Chen, Z., et al.: FinQA: A Dataset of Numerical Reasoning over Financial Data. In: Proc. EMNLP (2021).</w:t>
      </w:r>
    </w:p>
    <w:p>
      <w:pPr>
        <w:spacing w:after="120" w:line="300"/>
        <w:ind w:left="360" w:hanging="360"/>
        <w:jc w:val="both"/>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Kupiec, P. H.: Techniques for Verifying the Accuracy of Risk Management Models. Journal of Derivatives, vol. 3, no. 2, pp. 73–84 (1995).</w:t>
      </w:r>
    </w:p>
    <w:p>
      <w:pPr>
        <w:spacing w:after="120" w:line="300"/>
        <w:ind w:left="360" w:hanging="360"/>
        <w:jc w:val="both"/>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U.S. Securities and Exchange Commission: EDGAR Full-Text Search API (2024). https://efts.sec.gov</w:t>
      </w:r>
    </w:p>
    <w:p>
      <w:pPr>
        <w:spacing w:after="120" w:line="300"/>
        <w:ind w:left="360" w:hanging="360"/>
        <w:jc w:val="both"/>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U.S. Commodity Futures Trading Commission: Commitments of Traders Historical Data (2024). https://www.cftc.gov/MarketReports/CommitmentsofTraders</w:t>
      </w:r>
    </w:p>
    <w:p>
      <w:pPr>
        <w:spacing w:after="120" w:line="300"/>
        <w:ind w:left="360" w:hanging="360"/>
        <w:jc w:val="both"/>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Bank for International Settlements: Effective Exchange Rate Indices (2024). https://www.bis.org/statistics/eer.htm</w:t>
      </w:r>
    </w:p>
    <w:p>
      <w:pPr>
        <w:spacing w:after="120" w:line="300"/>
        <w:ind w:left="360" w:hanging="360"/>
        <w:jc w:val="both"/>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Leetaru, K., Schrodt, P. A.: GDELT: Global Data on Events, Language, and Tone, 1979–2012. ISA Annual Convention (2013).</w:t>
      </w:r>
    </w:p>
    <w:p>
      <w:pPr>
        <w:spacing w:after="120" w:line="300"/>
        <w:ind w:left="360" w:hanging="360"/>
        <w:jc w:val="both"/>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Lopez de Prado, M.: Advances in Financial Machine Learning. Wiley (2018).</w:t>
      </w:r>
    </w:p>
    <w:p>
      <w:pPr>
        <w:spacing w:after="120" w:line="300"/>
        <w:ind w:left="360" w:hanging="360"/>
        <w:jc w:val="both"/>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AISStream.io: Global AIS Data Stream Documentation (2026). https://aisstream.io</w:t>
      </w:r>
    </w:p>
    <w:p>
      <w:pPr>
        <w:spacing w:after="120" w:line="300"/>
        <w:ind w:left="360" w:hanging="360"/>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Chen, T., Guestrin, C.: XGBoost: A Scalable Tree Boosting System. In: Proc. KDD (2016).</w:t>
      </w:r>
    </w:p>
    <w:p>
      <w:pPr>
        <w:pageBreakBefore/>
        <w:spacing w:after="240" w:before="480" w:line="360"/>
        <w:jc w:val="center"/>
      </w:pPr>
      <w:r>
        <w:rPr>
          <w:rFonts w:ascii="Times New Roman" w:cs="Times New Roman" w:eastAsia="Times New Roman" w:hAnsi="Times New Roman"/>
          <w:b/>
          <w:bCs/>
          <w:sz w:val="32"/>
          <w:szCs w:val="32"/>
        </w:rPr>
        <w:t xml:space="preserve">Appendix A</w:t>
      </w:r>
    </w:p>
    <w:p>
      <w:pPr>
        <w:spacing w:after="320" w:line="360"/>
        <w:jc w:val="center"/>
      </w:pPr>
      <w:r>
        <w:rPr>
          <w:rFonts w:ascii="Times New Roman" w:cs="Times New Roman" w:eastAsia="Times New Roman" w:hAnsi="Times New Roman"/>
          <w:b/>
          <w:bCs/>
          <w:sz w:val="24"/>
          <w:szCs w:val="24"/>
        </w:rPr>
        <w:t xml:space="preserve">Source Code and System Flowcharts</w:t>
      </w:r>
    </w:p>
    <w:p>
      <w:pPr>
        <w:spacing w:after="120" w:line="360"/>
        <w:jc w:val="both"/>
      </w:pPr>
      <w:r>
        <w:rPr>
          <w:rFonts w:ascii="Times New Roman" w:cs="Times New Roman" w:eastAsia="Times New Roman" w:hAnsi="Times New Roman"/>
          <w:sz w:val="22"/>
          <w:szCs w:val="22"/>
        </w:rPr>
        <w:t xml:space="preserve">The complete Hedgyyyboo source code is published at:</w:t>
      </w:r>
    </w:p>
    <w:p>
      <w:pPr>
        <w:spacing w:after="240" w:before="60"/>
        <w:jc w:val="center"/>
      </w:pPr>
      <w:r>
        <w:rPr>
          <w:rFonts w:ascii="Times New Roman" w:cs="Times New Roman" w:eastAsia="Times New Roman" w:hAnsi="Times New Roman"/>
          <w:i/>
          <w:iCs/>
          <w:color w:val="2E75B6"/>
          <w:sz w:val="22"/>
          <w:szCs w:val="22"/>
        </w:rPr>
        <w:t xml:space="preserve">https://github.com/vedantkasargodya/hedgyyyboo-capstone</w:t>
      </w:r>
    </w:p>
    <w:p>
      <w:pPr>
        <w:spacing w:after="80" w:before="200"/>
        <w:jc w:val="center"/>
      </w:pPr>
      <w:r>
        <w:drawing>
          <wp:inline distT="0" distB="0" distL="0" distR="0">
            <wp:extent cx="4476750" cy="2571750"/>
            <wp:effectExtent t="0" r="0" b="0" l="0"/>
            <wp:docPr id="1" name="fig7_dataflow.png" descr="Data-flow across ingestion, numeric core, LLM core, and UI layers." title="Data-flow across ingestion, numeric core, LLM core, and UI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57175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A.1. </w:t>
      </w:r>
      <w:r>
        <w:rPr>
          <w:rFonts w:ascii="Times New Roman" w:cs="Times New Roman" w:eastAsia="Times New Roman" w:hAnsi="Times New Roman"/>
          <w:i/>
          <w:iCs/>
          <w:sz w:val="22"/>
          <w:szCs w:val="22"/>
        </w:rPr>
        <w:t xml:space="preserve">Data-flow across ingestion, numeric core, LLM core, and UI layers.</w:t>
      </w:r>
    </w:p>
    <w:p>
      <w:pPr>
        <w:spacing w:after="80" w:before="200"/>
        <w:jc w:val="center"/>
      </w:pPr>
      <w:r>
        <w:drawing>
          <wp:inline distT="0" distB="0" distL="0" distR="0">
            <wp:extent cx="4095750" cy="2762250"/>
            <wp:effectExtent t="0" r="0" b="0" l="0"/>
            <wp:docPr id="1" name="fig8_usecase.png" descr="Use-case diagram: Portfolio Manager interacts with five primary use cases." title="Use-case diagram: Portfolio Manager interacts with five primary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762250"/>
                    </a:xfrm>
                    <a:prstGeom prst="rect">
                      <a:avLst/>
                    </a:prstGeom>
                  </pic:spPr>
                </pic:pic>
              </a:graphicData>
            </a:graphic>
          </wp:inline>
        </w:drawing>
      </w:r>
    </w:p>
    <w:p>
      <w:pPr>
        <w:spacing w:after="240" w:before="20"/>
        <w:jc w:val="center"/>
      </w:pPr>
      <w:r>
        <w:rPr>
          <w:rFonts w:ascii="Times New Roman" w:cs="Times New Roman" w:eastAsia="Times New Roman" w:hAnsi="Times New Roman"/>
          <w:b/>
          <w:bCs/>
          <w:sz w:val="22"/>
          <w:szCs w:val="22"/>
        </w:rPr>
        <w:t xml:space="preserve">Fig. A.2. </w:t>
      </w:r>
      <w:r>
        <w:rPr>
          <w:rFonts w:ascii="Times New Roman" w:cs="Times New Roman" w:eastAsia="Times New Roman" w:hAnsi="Times New Roman"/>
          <w:i/>
          <w:iCs/>
          <w:sz w:val="22"/>
          <w:szCs w:val="22"/>
        </w:rPr>
        <w:t xml:space="preserve">Use-case diagram: Portfolio Manager interacts with five primary use cases.</w:t>
      </w:r>
    </w:p>
    <w:p>
      <w:pPr>
        <w:spacing w:after="120" w:line="360"/>
        <w:jc w:val="both"/>
      </w:pPr>
      <w:r>
        <w:rPr>
          <w:rFonts w:ascii="Times New Roman" w:cs="Times New Roman" w:eastAsia="Times New Roman" w:hAnsi="Times New Roman"/>
          <w:sz w:val="22"/>
          <w:szCs w:val="22"/>
        </w:rPr>
        <w:t xml:space="preserve">Key backend modules and their responsibilities are listed below. Every module is purely synchronous Python apart from the AIS WebSocket consumer and the async HTTP client used for OpenRouter.</w:t>
      </w:r>
    </w:p>
    <w:p>
      <w:pPr>
        <w:spacing w:after="120" w:line="360"/>
        <w:jc w:val="both"/>
      </w:pPr>
      <w:r>
        <w:rPr>
          <w:rFonts w:ascii="Times New Roman" w:cs="Times New Roman" w:eastAsia="Times New Roman" w:hAnsi="Times New Roman"/>
          <w:sz w:val="22"/>
          <w:szCs w:val="22"/>
        </w:rPr>
        <w:t xml:space="preserve">• app/main.py — FastAPI application, 53+ REST endpoints, startup lifespan that boots every subsystem.</w:t>
      </w:r>
    </w:p>
    <w:p>
      <w:pPr>
        <w:spacing w:after="120" w:line="360"/>
        <w:jc w:val="both"/>
      </w:pPr>
      <w:r>
        <w:rPr>
          <w:rFonts w:ascii="Times New Roman" w:cs="Times New Roman" w:eastAsia="Times New Roman" w:hAnsi="Times New Roman"/>
          <w:sz w:val="22"/>
          <w:szCs w:val="22"/>
        </w:rPr>
        <w:t xml:space="preserve">• app/signal_packet.py — OU MLE, Hurst R/S, GARCH(1,1), price summary builders.</w:t>
      </w:r>
    </w:p>
    <w:p>
      <w:pPr>
        <w:spacing w:after="120" w:line="360"/>
        <w:jc w:val="both"/>
      </w:pPr>
      <w:r>
        <w:rPr>
          <w:rFonts w:ascii="Times New Roman" w:cs="Times New Roman" w:eastAsia="Times New Roman" w:hAnsi="Times New Roman"/>
          <w:sz w:val="22"/>
          <w:szCs w:val="22"/>
        </w:rPr>
        <w:t xml:space="preserve">• app/trade_engine.py — auto-PM cycle, mark-and-manage, close rules, trailing stop, fresh-price fetcher.</w:t>
      </w:r>
    </w:p>
    <w:p>
      <w:pPr>
        <w:spacing w:after="120" w:line="360"/>
        <w:jc w:val="both"/>
      </w:pPr>
      <w:r>
        <w:rPr>
          <w:rFonts w:ascii="Times New Roman" w:cs="Times New Roman" w:eastAsia="Times New Roman" w:hAnsi="Times New Roman"/>
          <w:sz w:val="22"/>
          <w:szCs w:val="22"/>
        </w:rPr>
        <w:t xml:space="preserve">• app/paper_trades_model.py — unified multi-desk trade ledger + PnL helpers (RATES sign inversion).</w:t>
      </w:r>
    </w:p>
    <w:p>
      <w:pPr>
        <w:spacing w:after="120" w:line="360"/>
        <w:jc w:val="both"/>
      </w:pPr>
      <w:r>
        <w:rPr>
          <w:rFonts w:ascii="Times New Roman" w:cs="Times New Roman" w:eastAsia="Times New Roman" w:hAnsi="Times New Roman"/>
          <w:sz w:val="22"/>
          <w:szCs w:val="22"/>
        </w:rPr>
        <w:t xml:space="preserve">• app/market_hours.py — FX/EQUITY/RATES open-hours gating.</w:t>
      </w:r>
    </w:p>
    <w:p>
      <w:pPr>
        <w:spacing w:after="120" w:line="360"/>
        <w:jc w:val="both"/>
      </w:pPr>
      <w:r>
        <w:rPr>
          <w:rFonts w:ascii="Times New Roman" w:cs="Times New Roman" w:eastAsia="Times New Roman" w:hAnsi="Times New Roman"/>
          <w:sz w:val="22"/>
          <w:szCs w:val="22"/>
        </w:rPr>
        <w:t xml:space="preserve">• app/ml_model.py — XGBoost classifier, feature extraction, training, inference, persistence.</w:t>
      </w:r>
    </w:p>
    <w:p>
      <w:pPr>
        <w:spacing w:after="120" w:line="360"/>
        <w:jc w:val="both"/>
      </w:pPr>
      <w:r>
        <w:rPr>
          <w:rFonts w:ascii="Times New Roman" w:cs="Times New Roman" w:eastAsia="Times New Roman" w:hAnsi="Times New Roman"/>
          <w:sz w:val="22"/>
          <w:szCs w:val="22"/>
        </w:rPr>
        <w:t xml:space="preserve">• app/historical_backfill.py — walk-forward synthetic-trade generator with OHLC stops, tx-cost haircut, duration-weighted rates.</w:t>
      </w:r>
    </w:p>
    <w:p>
      <w:pPr>
        <w:spacing w:after="120" w:line="360"/>
        <w:jc w:val="both"/>
      </w:pPr>
      <w:r>
        <w:rPr>
          <w:rFonts w:ascii="Times New Roman" w:cs="Times New Roman" w:eastAsia="Times New Roman" w:hAnsi="Times New Roman"/>
          <w:sz w:val="22"/>
          <w:szCs w:val="22"/>
        </w:rPr>
        <w:t xml:space="preserve">• app/rag_brain.py — context builder, route classifier, LLM call wrapper.</w:t>
      </w:r>
    </w:p>
    <w:p>
      <w:pPr>
        <w:spacing w:after="120" w:line="360"/>
        <w:jc w:val="both"/>
      </w:pPr>
      <w:r>
        <w:rPr>
          <w:rFonts w:ascii="Times New Roman" w:cs="Times New Roman" w:eastAsia="Times New Roman" w:hAnsi="Times New Roman"/>
          <w:sz w:val="22"/>
          <w:szCs w:val="22"/>
        </w:rPr>
        <w:t xml:space="preserve">• app/llm_stats.py — process-local counter + SQLite LLMCallLog persistence.</w:t>
      </w:r>
    </w:p>
    <w:p>
      <w:pPr>
        <w:spacing w:after="120" w:line="360"/>
        <w:jc w:val="both"/>
      </w:pPr>
      <w:r>
        <w:rPr>
          <w:rFonts w:ascii="Times New Roman" w:cs="Times New Roman" w:eastAsia="Times New Roman" w:hAnsi="Times New Roman"/>
          <w:sz w:val="22"/>
          <w:szCs w:val="22"/>
        </w:rPr>
        <w:t xml:space="preserve">• app/ais_stream.py — AISStream WebSocket consumer, chokepoint aggregation.</w:t>
      </w:r>
    </w:p>
    <w:p>
      <w:pPr>
        <w:spacing w:after="120" w:line="360"/>
        <w:jc w:val="both"/>
      </w:pPr>
      <w:r>
        <w:rPr>
          <w:rFonts w:ascii="Times New Roman" w:cs="Times New Roman" w:eastAsia="Times New Roman" w:hAnsi="Times New Roman"/>
          <w:sz w:val="22"/>
          <w:szCs w:val="22"/>
        </w:rPr>
        <w:t xml:space="preserve">• app/gdelt_geo.py — GDELT geopolitical-stress index with pre-warm and single-flight lock.</w:t>
      </w:r>
    </w:p>
    <w:p>
      <w:pPr>
        <w:spacing w:after="120" w:line="360"/>
        <w:jc w:val="both"/>
      </w:pPr>
      <w:r>
        <w:rPr>
          <w:rFonts w:ascii="Times New Roman" w:cs="Times New Roman" w:eastAsia="Times New Roman" w:hAnsi="Times New Roman"/>
          <w:sz w:val="22"/>
          <w:szCs w:val="22"/>
        </w:rPr>
        <w:t xml:space="preserve">• app/scheduler.py — APScheduler cron setup (morning note, MTM, auto-PM, ML retrain).</w:t>
      </w:r>
    </w:p>
    <w:p>
      <w:pPr>
        <w:pageBreakBefore/>
        <w:spacing w:after="240" w:before="480" w:line="360"/>
        <w:jc w:val="center"/>
      </w:pPr>
      <w:r>
        <w:rPr>
          <w:rFonts w:ascii="Times New Roman" w:cs="Times New Roman" w:eastAsia="Times New Roman" w:hAnsi="Times New Roman"/>
          <w:b/>
          <w:bCs/>
          <w:sz w:val="32"/>
          <w:szCs w:val="32"/>
        </w:rPr>
        <w:t xml:space="preserve">Appendix B</w:t>
      </w:r>
    </w:p>
    <w:p>
      <w:pPr>
        <w:spacing w:after="320" w:line="360"/>
        <w:jc w:val="center"/>
      </w:pPr>
      <w:r>
        <w:rPr>
          <w:rFonts w:ascii="Times New Roman" w:cs="Times New Roman" w:eastAsia="Times New Roman" w:hAnsi="Times New Roman"/>
          <w:b/>
          <w:bCs/>
          <w:sz w:val="24"/>
          <w:szCs w:val="24"/>
        </w:rPr>
        <w:t xml:space="preserve">Dataset Information</w:t>
      </w:r>
    </w:p>
    <w:p>
      <w:pPr>
        <w:spacing w:after="80" w:before="240"/>
        <w:jc w:val="left"/>
      </w:pPr>
      <w:r>
        <w:rPr>
          <w:rFonts w:ascii="Times New Roman" w:cs="Times New Roman" w:eastAsia="Times New Roman" w:hAnsi="Times New Roman"/>
          <w:b/>
          <w:bCs/>
          <w:sz w:val="22"/>
          <w:szCs w:val="22"/>
        </w:rPr>
        <w:t xml:space="preserve">Table [2]: Dataset Overview</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Field</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Source</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Seven live public data sources; no synthetic data on any live code path</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Primary feeds</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Yahoo Finance, US Treasury, Google News RSS, SEC EDGAR, AISStream, CFTC COT, OpenRouter</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Persistence</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SQLite (backend/hedgyyyboo_trades.db) — migratable to PostgreSQL via DATABASE_URL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Tables</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fx_paper_trades, paper_trades (unified), historical_samples, llm_call_log</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AIS throughput</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≈3-4 messages/sec; 15,000+ unique MMSI cached within 60s of startup</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Historical samples</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~5,200 synthetic closed trades across 13 watchlist symbols over 2 years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LLM log retention</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Last 500 calls rehydrated into memory on every restart</w:t>
            </w:r>
          </w:p>
        </w:tc>
      </w:tr>
    </w:tbl>
    <w:p>
      <w:pPr>
        <w:spacing w:before="200"/>
      </w:pPr>
      <w:r>
        <w:rPr>
          <w:rFonts w:ascii="Times New Roman" w:cs="Times New Roman" w:eastAsia="Times New Roman" w:hAnsi="Times New Roman"/>
          <w:sz w:val="22"/>
          <w:szCs w:val="22"/>
        </w:rPr>
        <w:t xml:space="preserve"/>
      </w:r>
    </w:p>
    <w:p>
      <w:pPr>
        <w:spacing w:after="120" w:line="360"/>
        <w:jc w:val="both"/>
      </w:pPr>
      <w:r>
        <w:rPr>
          <w:rFonts w:ascii="Times New Roman" w:cs="Times New Roman" w:eastAsia="Times New Roman" w:hAnsi="Times New Roman"/>
          <w:sz w:val="22"/>
          <w:szCs w:val="22"/>
        </w:rPr>
        <w:t xml:space="preserve">The seven primary datasets are: (1) Yahoo Finance for FX spot, equity closes, UST yields; (2) the U.S. Treasury Daily Yield Curve for the 11 benchmark tenors used by PCA; (3) Google News RSS across 10 categories used by the Ask-PM context block and morning brief; (4) SEC EDGAR full-text search for the Filing Delta Engine; (5) AISStream's global WebSocket stream for live ship positions; (6) CFTC Commitments of Traders for FX positioning signals; (7) the OpenRouter Chat Completions API hosting Gemma-3n-E4B-it at the free tier's 20 requests/minute throughput cap.</w:t>
      </w:r>
    </w:p>
    <w:p>
      <w:pPr>
        <w:spacing w:after="120" w:line="360"/>
        <w:jc w:val="both"/>
      </w:pPr>
      <w:r>
        <w:rPr>
          <w:rFonts w:ascii="Times New Roman" w:cs="Times New Roman" w:eastAsia="Times New Roman" w:hAnsi="Times New Roman"/>
          <w:sz w:val="22"/>
          <w:szCs w:val="22"/>
        </w:rPr>
        <w:t xml:space="preserve">The synthetic data generator present on disk (app/data_generator.py) is retained for reference and for offline demonstrations but is disabled on every live code path. Any response derived from it is explicitly tagged source: 'synthetic_fallback' so both the UI and the examiner can distinguish it from live market data.</w:t>
      </w:r>
    </w:p>
    <w:p>
      <w:pPr>
        <w:pageBreakBefore/>
        <w:spacing w:after="240" w:before="480" w:line="360"/>
        <w:jc w:val="center"/>
      </w:pPr>
      <w:r>
        <w:rPr>
          <w:rFonts w:ascii="Times New Roman" w:cs="Times New Roman" w:eastAsia="Times New Roman" w:hAnsi="Times New Roman"/>
          <w:b/>
          <w:bCs/>
          <w:sz w:val="32"/>
          <w:szCs w:val="32"/>
        </w:rPr>
        <w:t xml:space="preserve">Appendix C</w:t>
      </w:r>
    </w:p>
    <w:p>
      <w:pPr>
        <w:spacing w:after="320" w:line="360"/>
        <w:jc w:val="center"/>
      </w:pPr>
      <w:r>
        <w:rPr>
          <w:rFonts w:ascii="Times New Roman" w:cs="Times New Roman" w:eastAsia="Times New Roman" w:hAnsi="Times New Roman"/>
          <w:b/>
          <w:bCs/>
          <w:sz w:val="24"/>
          <w:szCs w:val="24"/>
        </w:rPr>
        <w:t xml:space="preserve">List of Components</w:t>
      </w:r>
    </w:p>
    <w:p>
      <w:pPr>
        <w:spacing w:after="80" w:before="240"/>
        <w:jc w:val="left"/>
      </w:pPr>
      <w:r>
        <w:rPr>
          <w:rFonts w:ascii="Times New Roman" w:cs="Times New Roman" w:eastAsia="Times New Roman" w:hAnsi="Times New Roman"/>
          <w:b/>
          <w:bCs/>
          <w:sz w:val="22"/>
          <w:szCs w:val="22"/>
        </w:rPr>
        <w:t xml:space="preserve">Table [3]: Hardware Components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Component</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Specification / Description</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Laptop / Workstation</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Apple MacBook Pro M-series (2023), 16 GB unified memory, 1 TB SSD — or equivalent x86-64 laptop</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Processor</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Apple Silicon / Intel i5 / AMD Ryzen 5 or above (min. 3.0 GHz)</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RAM</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Minimum 16 GB DDR4/LPDDR5</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Storage</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SSD with ≥ 20 GB free (platform data + venv + node_modules)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Display</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1920×1080 or higher recommended; 1366×768 laptop screens also supported</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Network</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Broadband ≥ 25 Mbps for AIS streaming + API calls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GPU</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Not required — LLM inference is remote via OpenRouter</w:t>
            </w:r>
          </w:p>
        </w:tc>
      </w:tr>
    </w:tbl>
    <w:p>
      <w:pPr>
        <w:spacing w:before="200"/>
      </w:pPr>
      <w:r>
        <w:rPr>
          <w:rFonts w:ascii="Times New Roman" w:cs="Times New Roman" w:eastAsia="Times New Roman" w:hAnsi="Times New Roman"/>
          <w:sz w:val="22"/>
          <w:szCs w:val="22"/>
        </w:rPr>
        <w:t xml:space="preserve"/>
      </w:r>
    </w:p>
    <w:p>
      <w:pPr>
        <w:spacing w:after="80" w:before="240"/>
        <w:jc w:val="left"/>
      </w:pPr>
      <w:r>
        <w:rPr>
          <w:rFonts w:ascii="Times New Roman" w:cs="Times New Roman" w:eastAsia="Times New Roman" w:hAnsi="Times New Roman"/>
          <w:b/>
          <w:bCs/>
          <w:sz w:val="22"/>
          <w:szCs w:val="22"/>
        </w:rPr>
        <w:t xml:space="preserve">Software Components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Software</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Version / Functionality</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Python</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3.11+ — primary backend language</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FastAPI / Uvicorn</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0.128 / 0.39 — ASGI REST framework and server</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SQLAlchemy / SQLite</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2.0 / 3 — trade ledger + LLM log persistence</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NumPy / SciPy</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2.0 / 1.14 — vectorised math</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scikit-learn</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1.6 — PCA eigendecomposition</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xgboost</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3.2 — ML trade screener</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arch</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GARCH(1,1) fitting (disabled in backfill due to segfault risk)</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yfinance</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Yahoo Finance client</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httpx / websockets</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Async HTTP + WebSocket clients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APScheduler</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3.10 — cron scheduling</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Node.js</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20+ — frontend runtime</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Next.js / React</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16 / 19 — SSR + routing</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TypeScript</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5 — type-safe JS</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Tailwind CSS</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4 — utility-first styling</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Recharts</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 — data-visualisation</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react-simple-maps</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 — global marine-traffic map</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OpenRouter API</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Free tier · Gemma-3n-E4B-it · 20 RPM</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AISStream API</w:t>
            </w:r>
          </w:p>
        </w:tc>
        <w:tc>
          <w:tcPr>
            <w:tcW w:type="dxa" w:w="6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Free global WebSocket AIS stream</w:t>
            </w:r>
          </w:p>
        </w:tc>
      </w:tr>
    </w:tbl>
    <w:p>
      <w:pPr>
        <w:pageBreakBefore/>
        <w:spacing w:after="240" w:before="480" w:line="360"/>
        <w:jc w:val="center"/>
      </w:pPr>
      <w:r>
        <w:rPr>
          <w:rFonts w:ascii="Times New Roman" w:cs="Times New Roman" w:eastAsia="Times New Roman" w:hAnsi="Times New Roman"/>
          <w:b/>
          <w:bCs/>
          <w:sz w:val="32"/>
          <w:szCs w:val="32"/>
        </w:rPr>
        <w:t xml:space="preserve">Appendix D</w:t>
      </w:r>
    </w:p>
    <w:p>
      <w:pPr>
        <w:spacing w:after="320" w:line="360"/>
        <w:jc w:val="center"/>
      </w:pPr>
      <w:r>
        <w:rPr>
          <w:rFonts w:ascii="Times New Roman" w:cs="Times New Roman" w:eastAsia="Times New Roman" w:hAnsi="Times New Roman"/>
          <w:b/>
          <w:bCs/>
          <w:sz w:val="24"/>
          <w:szCs w:val="24"/>
        </w:rPr>
        <w:t xml:space="preserve">List of Papers Presented and Published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Field</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Title</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Hedgyyyboo: A Retrieval-Augmented LLM Framework Coupled with Stochastic Calculus and Principal Component Factor Models for Real-Time Multi-Asset Portfolio Decision Support</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Author</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Prathmesh Deshmukh</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Institution</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SVKM's NMIMS University, MPSTME, Mumbai, India</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Status</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IEEE-format manuscript prepared for conference submission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Repository</w:t>
            </w:r>
          </w:p>
        </w:tc>
        <w:tc>
          <w:tcPr>
            <w:tcW w:type="dxa" w:w="6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https://github.com/vedantkasargodya/hedgyyyboo-capstone</w:t>
            </w:r>
          </w:p>
        </w:tc>
      </w:tr>
    </w:tbl>
    <w:p>
      <w:pPr>
        <w:spacing w:before="240"/>
      </w:pPr>
      <w:r>
        <w:rPr>
          <w:rFonts w:ascii="Times New Roman" w:cs="Times New Roman" w:eastAsia="Times New Roman" w:hAnsi="Times New Roman"/>
          <w:sz w:val="22"/>
          <w:szCs w:val="22"/>
        </w:rPr>
        <w:t xml:space="preserve"/>
      </w:r>
    </w:p>
    <w:p>
      <w:pPr>
        <w:spacing w:after="120" w:line="360"/>
        <w:jc w:val="both"/>
      </w:pPr>
      <w:r>
        <w:rPr>
          <w:rFonts w:ascii="Times New Roman" w:cs="Times New Roman" w:eastAsia="Times New Roman" w:hAnsi="Times New Roman"/>
          <w:sz w:val="22"/>
          <w:szCs w:val="22"/>
        </w:rPr>
        <w:t xml:space="preserve">The repository contains the complete backend source, frontend source, capstone report DOCX (this document), IEEE paper DOCX, and study-notes PDF. Every figure embedded in this report is regenerable from the Python scripts in paper/generate_*.py and paper/gen_v3_charts.py.</w:t>
      </w:r>
    </w:p>
    <w:p>
      <w:pPr>
        <w:spacing w:before="200"/>
      </w:pPr>
      <w:r>
        <w:rPr>
          <w:rFonts w:ascii="Times New Roman" w:cs="Times New Roman" w:eastAsia="Times New Roman" w:hAnsi="Times New Roman"/>
          <w:sz w:val="22"/>
          <w:szCs w:val="22"/>
        </w:rPr>
        <w:t xml:space="preserve"/>
      </w:r>
    </w:p>
    <w:p>
      <w:pPr>
        <w:spacing w:after="80" w:before="240"/>
        <w:jc w:val="left"/>
      </w:pPr>
      <w:r>
        <w:rPr>
          <w:rFonts w:ascii="Times New Roman" w:cs="Times New Roman" w:eastAsia="Times New Roman" w:hAnsi="Times New Roman"/>
          <w:b/>
          <w:bCs/>
          <w:sz w:val="22"/>
          <w:szCs w:val="22"/>
        </w:rPr>
        <w:t xml:space="preserve">Figure list</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tblGrid>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Figure No</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Description</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bCs/>
                <w:sz w:val="22"/>
                <w:szCs w:val="22"/>
              </w:rPr>
              <w:t xml:space="preserve">Page</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1</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Hedgyyyboo three-tier system architecture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16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2</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GARCH(1,1) conditional-volatility forecast</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24</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3</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XGBoost screener — top 10 feature importances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27</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4</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AIS live chokepoint ship counts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30</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5</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PCA scree plot (98.7% cumulative variance)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34</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6</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PC1-PC3 loadings vs tenor</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34</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7</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Auto-PM realised equity curve and drawdown</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8</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Quantitative performance metrics vs targets</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38</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9</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LLM usage analytics (decisions + latency)</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39</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10</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Workflow efficiency — Traditional vs Hedgyyyboo</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42</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11</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Qualitative internal-audit radar</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48</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A.1</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Data-flow architecture (Appendix 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55</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Fig. A.2</w:t>
            </w:r>
          </w:p>
        </w:tc>
        <w:tc>
          <w:tcPr>
            <w:tcW w:type="dxa" w:w="5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2"/>
                <w:szCs w:val="22"/>
              </w:rPr>
              <w:t xml:space="preserve">Use-case diagram (Appendix 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line="260"/>
              <w:jc w:val="right"/>
            </w:pPr>
            <w:r>
              <w:rPr>
                <w:rFonts w:ascii="Times New Roman" w:cs="Times New Roman" w:eastAsia="Times New Roman" w:hAnsi="Times New Roman"/>
                <w:b w:val="false"/>
                <w:bCs w:val="false"/>
                <w:sz w:val="22"/>
                <w:szCs w:val="22"/>
              </w:rPr>
              <w:t xml:space="preserve">55</w:t>
            </w:r>
          </w:p>
        </w:tc>
      </w:tr>
    </w:tbl>
    <w:sectPr>
      <w:headerReference w:type="default" r:id="rId7"/>
      <w:footerReference w:type="default" r:id="rId8"/>
      <w:pgSz w:w="12240" w:h="15840" w:orient="portrait"/>
      <w:pgMar w:top="1440" w:right="1440" w:bottom="1440" w:left="1440" w:header="720" w:footer="720"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00"/>
      </w:tabs>
      <w:spacing w:after="0"/>
    </w:pPr>
    <w:r>
      <w:rPr>
        <w:rFonts w:ascii="Times New Roman" w:cs="Times New Roman" w:eastAsia="Times New Roman" w:hAnsi="Times New Roman"/>
        <w:sz w:val="20"/>
        <w:szCs w:val="20"/>
      </w:rPr>
      <w:t xml:space="preserve">Hedgyyyboo Analytics Platform</w:t>
    </w:r>
    <w:r>
      <w:rPr>
        <w:rFonts w:ascii="Times New Roman" w:cs="Times New Roman" w:eastAsia="Times New Roman" w:hAnsi="Times New Roman"/>
        <w:sz w:val="20"/>
        <w:szCs w:val="20"/>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9285f17f7912e0d75613352d9bda65ac80bd2a.png"/><Relationship Id="rId10" Type="http://schemas.openxmlformats.org/officeDocument/2006/relationships/image" Target="media/f88e9d62e0602b1147d21cc32239cc5b1ae80a3d.png"/><Relationship Id="rId11" Type="http://schemas.openxmlformats.org/officeDocument/2006/relationships/image" Target="media/4a2ba21e2c3806d7006358afbbd74447f87f98b6.png"/><Relationship Id="rId12" Type="http://schemas.openxmlformats.org/officeDocument/2006/relationships/image" Target="media/ce3fd26f988a8f2d3bed1d0c9262a211a2352164.png"/><Relationship Id="rId13" Type="http://schemas.openxmlformats.org/officeDocument/2006/relationships/image" Target="media/1ee063dfa0434825cfb89470ba65cfc2d28d8520.png"/><Relationship Id="rId14" Type="http://schemas.openxmlformats.org/officeDocument/2006/relationships/image" Target="media/91bdc89ff3be07f3c1abeed80fa6f7e444b9e516.png"/><Relationship Id="rId15" Type="http://schemas.openxmlformats.org/officeDocument/2006/relationships/image" Target="media/28fb4c42e49c6d28be8073042cf43e76981698f6.png"/><Relationship Id="rId16" Type="http://schemas.openxmlformats.org/officeDocument/2006/relationships/image" Target="media/9dbdc3b1189e69f415dcf20d71867e5813f8c51c.png"/><Relationship Id="rId17" Type="http://schemas.openxmlformats.org/officeDocument/2006/relationships/image" Target="media/f966662415bc1d3d03f26ef86120dd4132252e66.png"/><Relationship Id="rId18" Type="http://schemas.openxmlformats.org/officeDocument/2006/relationships/image" Target="media/558e5c48a9c848709e9047d3519664199110e963.png"/><Relationship Id="rId19" Type="http://schemas.openxmlformats.org/officeDocument/2006/relationships/image" Target="media/b4292056e3d09b2e7d012ea9e45e5169d4ad1bff.png"/><Relationship Id="rId20" Type="http://schemas.openxmlformats.org/officeDocument/2006/relationships/image" Target="media/50726c7c3552f51ebca386ac6abce0aa8a1b1e1e.png"/><Relationship Id="rId21" Type="http://schemas.openxmlformats.org/officeDocument/2006/relationships/image" Target="media/5724d06d91aaf56344320cfb7776b0d34740726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Hedgyyyboo Capstone Report (v3 with figures)</dc:title>
  <dc:creator>Prathmesh Deshmukh</dc:creator>
  <dc:description>NMIMS MPSTME Capstone report — full platform with figures + tables matching reference PDF</dc:description>
  <cp:lastModifiedBy>Un-named</cp:lastModifiedBy>
  <cp:revision>1</cp:revision>
  <dcterms:created xsi:type="dcterms:W3CDTF">2026-04-22T00:01:08.930Z</dcterms:created>
  <dcterms:modified xsi:type="dcterms:W3CDTF">2026-04-22T00:01:08.931Z</dcterms:modified>
</cp:coreProperties>
</file>

<file path=docProps/custom.xml><?xml version="1.0" encoding="utf-8"?>
<Properties xmlns="http://schemas.openxmlformats.org/officeDocument/2006/custom-properties" xmlns:vt="http://schemas.openxmlformats.org/officeDocument/2006/docPropsVTypes"/>
</file>