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000"/>
        <w:jc w:val="center"/>
      </w:pPr>
      <w:r>
        <w:rPr>
          <w:rFonts w:ascii="Times New Roman" w:cs="Times New Roman" w:eastAsia="Times New Roman" w:hAnsi="Times New Roman"/>
          <w:b/>
          <w:bCs/>
          <w:sz w:val="56"/>
          <w:szCs w:val="56"/>
        </w:rPr>
        <w:t xml:space="preserve">HEDGYYYBOO</w:t>
      </w:r>
    </w:p>
    <w:p>
      <w:pPr>
        <w:spacing w:after="240"/>
        <w:jc w:val="center"/>
      </w:pPr>
      <w:r>
        <w:rPr>
          <w:rFonts w:ascii="Times New Roman" w:cs="Times New Roman" w:eastAsia="Times New Roman" w:hAnsi="Times New Roman"/>
          <w:b/>
          <w:bCs/>
          <w:sz w:val="32"/>
          <w:szCs w:val="32"/>
        </w:rPr>
        <w:t xml:space="preserve">Multi-Asset Quantitative Analytics Platform with</w:t>
      </w:r>
    </w:p>
    <w:p>
      <w:pPr>
        <w:spacing w:after="800"/>
        <w:jc w:val="center"/>
      </w:pPr>
      <w:r>
        <w:rPr>
          <w:rFonts w:ascii="Times New Roman" w:cs="Times New Roman" w:eastAsia="Times New Roman" w:hAnsi="Times New Roman"/>
          <w:b/>
          <w:bCs/>
          <w:sz w:val="32"/>
          <w:szCs w:val="32"/>
        </w:rPr>
        <w:t xml:space="preserve">Retrieval-Augmented LLM Narrative Layer</w:t>
      </w:r>
    </w:p>
    <w:p>
      <w:pPr>
        <w:spacing w:after="160" w:before="240"/>
        <w:jc w:val="center"/>
      </w:pPr>
      <w:r>
        <w:rPr>
          <w:rFonts w:ascii="Times New Roman" w:cs="Times New Roman" w:eastAsia="Times New Roman" w:hAnsi="Times New Roman"/>
          <w:b/>
          <w:bCs/>
          <w:sz w:val="24"/>
          <w:szCs w:val="24"/>
        </w:rPr>
        <w:t xml:space="preserve">Project Report submitted in the partial fulfilment</w:t>
      </w:r>
    </w:p>
    <w:p>
      <w:pPr>
        <w:spacing w:after="160"/>
        <w:jc w:val="center"/>
      </w:pPr>
      <w:r>
        <w:rPr>
          <w:rFonts w:ascii="Times New Roman" w:cs="Times New Roman" w:eastAsia="Times New Roman" w:hAnsi="Times New Roman"/>
          <w:sz w:val="24"/>
          <w:szCs w:val="24"/>
        </w:rPr>
        <w:t xml:space="preserve">of</w:t>
      </w:r>
    </w:p>
    <w:p>
      <w:pPr>
        <w:spacing w:after="80"/>
        <w:jc w:val="center"/>
      </w:pPr>
      <w:r>
        <w:rPr>
          <w:rFonts w:ascii="Times New Roman" w:cs="Times New Roman" w:eastAsia="Times New Roman" w:hAnsi="Times New Roman"/>
          <w:b/>
          <w:bCs/>
          <w:sz w:val="24"/>
          <w:szCs w:val="24"/>
        </w:rPr>
        <w:t xml:space="preserve">Bachelor of Technology</w:t>
      </w:r>
    </w:p>
    <w:p>
      <w:pPr>
        <w:spacing w:after="60"/>
        <w:jc w:val="center"/>
      </w:pPr>
      <w:r>
        <w:rPr>
          <w:rFonts w:ascii="Times New Roman" w:cs="Times New Roman" w:eastAsia="Times New Roman" w:hAnsi="Times New Roman"/>
          <w:sz w:val="24"/>
          <w:szCs w:val="24"/>
        </w:rPr>
        <w:t xml:space="preserve">in</w:t>
      </w:r>
    </w:p>
    <w:p>
      <w:pPr>
        <w:spacing w:after="560"/>
        <w:jc w:val="center"/>
      </w:pPr>
      <w:r>
        <w:rPr>
          <w:rFonts w:ascii="Times New Roman" w:cs="Times New Roman" w:eastAsia="Times New Roman" w:hAnsi="Times New Roman"/>
          <w:b/>
          <w:bCs/>
          <w:sz w:val="24"/>
          <w:szCs w:val="24"/>
        </w:rPr>
        <w:t xml:space="preserve">Computer Science &amp; Engineering</w:t>
      </w:r>
    </w:p>
    <w:p>
      <w:pPr>
        <w:spacing w:after="120"/>
        <w:jc w:val="center"/>
      </w:pPr>
      <w:r>
        <w:rPr>
          <w:rFonts w:ascii="Times New Roman" w:cs="Times New Roman" w:eastAsia="Times New Roman" w:hAnsi="Times New Roman"/>
          <w:i/>
          <w:iCs/>
          <w:sz w:val="24"/>
          <w:szCs w:val="24"/>
        </w:rPr>
        <w:t xml:space="preserve">by</w:t>
      </w:r>
    </w:p>
    <w:p>
      <w:pPr>
        <w:spacing w:after="60"/>
        <w:jc w:val="center"/>
      </w:pPr>
      <w:r>
        <w:rPr>
          <w:rFonts w:ascii="Times New Roman" w:cs="Times New Roman" w:eastAsia="Times New Roman" w:hAnsi="Times New Roman"/>
          <w:b/>
          <w:bCs/>
          <w:sz w:val="24"/>
          <w:szCs w:val="24"/>
        </w:rPr>
        <w:t xml:space="preserve">Prathmesh Deshmukh (Roll No.: XXXXXXXX)</w:t>
      </w:r>
    </w:p>
    <w:p>
      <w:pPr>
        <w:spacing w:after="560"/>
        <w:jc w:val="center"/>
      </w:pPr>
      <w:r>
        <w:rPr>
          <w:rFonts w:ascii="Times New Roman" w:cs="Times New Roman" w:eastAsia="Times New Roman" w:hAnsi="Times New Roman"/>
          <w:sz w:val="24"/>
          <w:szCs w:val="24"/>
        </w:rPr>
        <w:t xml:space="preserve">SAP ID: XXXXXXXXXX</w:t>
      </w:r>
    </w:p>
    <w:p>
      <w:pPr>
        <w:spacing w:after="80"/>
        <w:jc w:val="center"/>
      </w:pPr>
      <w:r>
        <w:rPr>
          <w:rFonts w:ascii="Times New Roman" w:cs="Times New Roman" w:eastAsia="Times New Roman" w:hAnsi="Times New Roman"/>
          <w:i/>
          <w:iCs/>
          <w:sz w:val="24"/>
          <w:szCs w:val="24"/>
        </w:rPr>
        <w:t xml:space="preserve">Under the supervision of</w:t>
      </w:r>
    </w:p>
    <w:p>
      <w:pPr>
        <w:spacing w:after="60"/>
        <w:jc w:val="center"/>
      </w:pPr>
      <w:r>
        <w:rPr>
          <w:rFonts w:ascii="Times New Roman" w:cs="Times New Roman" w:eastAsia="Times New Roman" w:hAnsi="Times New Roman"/>
          <w:b/>
          <w:bCs/>
          <w:sz w:val="24"/>
          <w:szCs w:val="24"/>
          <w:u w:val="single"/>
        </w:rPr>
        <w:t xml:space="preserve">Prof. [Name of Faculty Mentor]</w:t>
      </w:r>
    </w:p>
    <w:p>
      <w:pPr>
        <w:spacing w:after="800"/>
        <w:jc w:val="center"/>
      </w:pPr>
      <w:r>
        <w:rPr>
          <w:rFonts w:ascii="Times New Roman" w:cs="Times New Roman" w:eastAsia="Times New Roman" w:hAnsi="Times New Roman"/>
          <w:i/>
          <w:iCs/>
          <w:sz w:val="22"/>
          <w:szCs w:val="22"/>
        </w:rPr>
        <w:t xml:space="preserve">(Designation, Department of Computer Engineering, MPSTME)</w:t>
      </w:r>
    </w:p>
    <w:p>
      <w:pPr>
        <w:spacing w:after="120"/>
        <w:jc w:val="center"/>
      </w:pPr>
      <w:r>
        <w:rPr>
          <w:rFonts w:ascii="Times New Roman" w:cs="Times New Roman" w:eastAsia="Times New Roman" w:hAnsi="Times New Roman"/>
          <w:b/>
          <w:bCs/>
          <w:sz w:val="30"/>
          <w:szCs w:val="30"/>
        </w:rPr>
        <w:t xml:space="preserve">SVKM's NMIMS University</w:t>
      </w:r>
    </w:p>
    <w:p>
      <w:pPr>
        <w:spacing w:after="80"/>
        <w:jc w:val="center"/>
      </w:pPr>
      <w:r>
        <w:rPr>
          <w:rFonts w:ascii="Times New Roman" w:cs="Times New Roman" w:eastAsia="Times New Roman" w:hAnsi="Times New Roman"/>
          <w:i/>
          <w:iCs/>
          <w:sz w:val="22"/>
          <w:szCs w:val="22"/>
        </w:rPr>
        <w:t xml:space="preserve">(Deemed-to-be University)</w:t>
      </w:r>
    </w:p>
    <w:p>
      <w:pPr>
        <w:spacing w:after="240"/>
        <w:jc w:val="center"/>
      </w:pPr>
      <w:r>
        <w:rPr>
          <w:rFonts w:ascii="Times New Roman" w:cs="Times New Roman" w:eastAsia="Times New Roman" w:hAnsi="Times New Roman"/>
          <w:b/>
          <w:bCs/>
          <w:sz w:val="24"/>
          <w:szCs w:val="24"/>
        </w:rPr>
        <w:t xml:space="preserve">Mukesh Patel School of Technology Management &amp; Engineering (MPSTME)</w:t>
      </w:r>
    </w:p>
    <w:p>
      <w:pPr>
        <w:spacing w:after="120"/>
        <w:jc w:val="center"/>
      </w:pPr>
      <w:r>
        <w:rPr>
          <w:rFonts w:ascii="Times New Roman" w:cs="Times New Roman" w:eastAsia="Times New Roman" w:hAnsi="Times New Roman"/>
          <w:sz w:val="24"/>
          <w:szCs w:val="24"/>
        </w:rPr>
        <w:t xml:space="preserve">Vile Parle (W), Mumbai-56</w:t>
      </w:r>
    </w:p>
    <w:p>
      <w:pPr>
        <w:spacing w:after="120"/>
        <w:jc w:val="center"/>
      </w:pPr>
      <w:r>
        <w:rPr>
          <w:rFonts w:ascii="Times New Roman" w:cs="Times New Roman" w:eastAsia="Times New Roman" w:hAnsi="Times New Roman"/>
          <w:b/>
          <w:bCs/>
          <w:sz w:val="24"/>
          <w:szCs w:val="24"/>
        </w:rPr>
        <w:t xml:space="preserve">Academic Year 2025-26</w:t>
      </w:r>
    </w:p>
    <w:p>
      <w:pPr>
        <w:sectPr>
          <w:pgSz w:w="12240" w:h="15840" w:orient="portrait"/>
          <w:pgMar w:top="1440" w:right="1440" w:bottom="1440" w:left="2160" w:header="720" w:footer="720" w:gutter="0"/>
          <w:pgNumType w:start="1" w:fmt="upperRoman"/>
          <w:docGrid w:linePitch="360"/>
        </w:sectPr>
      </w:pPr>
    </w:p>
    <w:p>
      <w:pPr>
        <w:pageBreakBefore/>
        <w:spacing w:after="320" w:before="1000"/>
        <w:jc w:val="center"/>
      </w:pPr>
      <w:r>
        <w:rPr>
          <w:rFonts w:ascii="Times New Roman" w:cs="Times New Roman" w:eastAsia="Times New Roman" w:hAnsi="Times New Roman"/>
          <w:b/>
          <w:bCs/>
          <w:sz w:val="40"/>
          <w:szCs w:val="40"/>
          <w:u w:val="single"/>
        </w:rPr>
        <w:t xml:space="preserve">CERTIFICATE</w:t>
      </w:r>
    </w:p>
    <w:p>
      <w:pPr>
        <w:spacing w:after="240" w:before="360" w:line="360"/>
        <w:ind w:first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"Hedgyyyboo: Multi-Asset Quantitative Analytics Platform with Retrieval-Augmented LLM Narrative Layer"</w:t>
      </w:r>
      <w:r>
        <w:rPr>
          <w:rFonts w:ascii="Times New Roman" w:cs="Times New Roman" w:eastAsia="Times New Roman" w:hAnsi="Times New Roman"/>
          <w:sz w:val="24"/>
          <w:szCs w:val="24"/>
        </w:rPr>
        <w:t xml:space="preserve"> has been done by </w:t>
      </w:r>
      <w:r>
        <w:rPr>
          <w:rFonts w:ascii="Times New Roman" w:cs="Times New Roman" w:eastAsia="Times New Roman" w:hAnsi="Times New Roman"/>
          <w:b/>
          <w:bCs/>
          <w:sz w:val="24"/>
          <w:szCs w:val="24"/>
        </w:rPr>
        <w:t xml:space="preserve">Mr. Prathmesh Deshmukh</w:t>
      </w:r>
      <w:r>
        <w:rPr>
          <w:rFonts w:ascii="Times New Roman" w:cs="Times New Roman" w:eastAsia="Times New Roman" w:hAnsi="Times New Roman"/>
          <w:sz w:val="24"/>
          <w:szCs w:val="24"/>
        </w:rPr>
        <w:t xml:space="preserve"> under my guidance and supervision and has been submitted in partial fulfilment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Computer Science &amp; Engineering</w:t>
      </w:r>
      <w:r>
        <w:rPr>
          <w:rFonts w:ascii="Times New Roman" w:cs="Times New Roman" w:eastAsia="Times New Roman" w:hAnsi="Times New Roman"/>
          <w:sz w:val="24"/>
          <w:szCs w:val="24"/>
        </w:rPr>
        <w:t xml:space="preserve"> of MPSTME, SVKM's NMIMS (Deemed-to-be University), Mumbai, India during the academic year 2025-26.</w:t>
      </w:r>
    </w:p>
    <w:p>
      <w:pPr>
        <w:spacing w:before="600"/>
      </w:pPr>
      <w:r>
        <w:rPr>
          <w:rFonts w:ascii="Times New Roman" w:cs="Times New Roman" w:eastAsia="Times New Roman" w:hAnsi="Times New Roman"/>
          <w:sz w:val="24"/>
          <w:szCs w:val="24"/>
        </w:rPr>
        <w:t xml:space="preserve"/>
      </w:r>
    </w:p>
    <w:p>
      <w:pPr>
        <w:tabs>
          <w:tab w:val="right" w:pos="9000"/>
        </w:tabs>
        <w:spacing w:after="360" w:before="360"/>
        <w:jc w:val="left"/>
      </w:pPr>
      <w:r>
        <w:rPr>
          <w:rFonts w:ascii="Times New Roman" w:cs="Times New Roman" w:eastAsia="Times New Roman" w:hAnsi="Times New Roman"/>
          <w:sz w:val="24"/>
          <w:szCs w:val="24"/>
        </w:rPr>
        <w:t xml:space="preserve">________________________</w:t>
      </w:r>
      <w:r>
        <w:rPr>
          <w:rFonts w:ascii="Times New Roman" w:cs="Times New Roman" w:eastAsia="Times New Roman" w:hAnsi="Times New Roman"/>
          <w:sz w:val="24"/>
          <w:szCs w:val="24"/>
        </w:rPr>
        <w:t xml:space="preserve">	________________________</w:t>
      </w:r>
    </w:p>
    <w:p>
      <w:pPr>
        <w:tabs>
          <w:tab w:val="right" w:pos="9000"/>
        </w:tabs>
        <w:spacing w:after="120"/>
        <w:jc w:val="left"/>
      </w:pPr>
      <w:r>
        <w:rPr>
          <w:rFonts w:ascii="Times New Roman" w:cs="Times New Roman" w:eastAsia="Times New Roman" w:hAnsi="Times New Roman"/>
          <w:b/>
          <w:bCs/>
          <w:sz w:val="24"/>
          <w:szCs w:val="24"/>
        </w:rPr>
        <w:t xml:space="preserve">Project Mentor (Name &amp; Signature)</w:t>
      </w:r>
      <w:r>
        <w:rPr>
          <w:rFonts w:ascii="Times New Roman" w:cs="Times New Roman" w:eastAsia="Times New Roman" w:hAnsi="Times New Roman"/>
          <w:b/>
          <w:bCs/>
          <w:sz w:val="24"/>
          <w:szCs w:val="24"/>
        </w:rPr>
        <w:t xml:space="preserve">	Examiner (Name &amp; Signature)</w:t>
      </w:r>
    </w:p>
    <w:p>
      <w:pPr>
        <w:spacing w:after="80"/>
        <w:jc w:val="left"/>
      </w:pPr>
      <w:r>
        <w:rPr>
          <w:rFonts w:ascii="Times New Roman" w:cs="Times New Roman" w:eastAsia="Times New Roman" w:hAnsi="Times New Roman"/>
          <w:i/>
          <w:iCs/>
          <w:sz w:val="24"/>
          <w:szCs w:val="24"/>
        </w:rPr>
        <w:t xml:space="preserve">(Internal Guide)</w:t>
      </w:r>
    </w:p>
    <w:p>
      <w:pPr>
        <w:spacing w:after="60"/>
        <w:jc w:val="left"/>
      </w:pPr>
      <w:r>
        <w:rPr>
          <w:rFonts w:ascii="Times New Roman" w:cs="Times New Roman" w:eastAsia="Times New Roman" w:hAnsi="Times New Roman"/>
          <w:sz w:val="24"/>
          <w:szCs w:val="24"/>
        </w:rPr>
        <w:t xml:space="preserve">Date: ____________</w:t>
      </w:r>
    </w:p>
    <w:p>
      <w:pPr>
        <w:spacing w:after="600"/>
        <w:jc w:val="left"/>
      </w:pPr>
      <w:r>
        <w:rPr>
          <w:rFonts w:ascii="Times New Roman" w:cs="Times New Roman" w:eastAsia="Times New Roman" w:hAnsi="Times New Roman"/>
          <w:sz w:val="24"/>
          <w:szCs w:val="24"/>
        </w:rPr>
        <w:t xml:space="preserve">Place: Mumbai</w:t>
      </w:r>
    </w:p>
    <w:p>
      <w:pPr>
        <w:spacing w:after="120"/>
        <w:jc w:val="right"/>
      </w:pPr>
      <w:r>
        <w:rPr>
          <w:rFonts w:ascii="Times New Roman" w:cs="Times New Roman" w:eastAsia="Times New Roman" w:hAnsi="Times New Roman"/>
          <w:sz w:val="24"/>
          <w:szCs w:val="24"/>
        </w:rPr>
        <w:t xml:space="preserve">________________________</w:t>
      </w:r>
    </w:p>
    <w:p>
      <w:pPr>
        <w:spacing w:after="80"/>
        <w:jc w:val="right"/>
      </w:pPr>
      <w:r>
        <w:rPr>
          <w:rFonts w:ascii="Times New Roman" w:cs="Times New Roman" w:eastAsia="Times New Roman" w:hAnsi="Times New Roman"/>
          <w:b/>
          <w:bCs/>
          <w:sz w:val="24"/>
          <w:szCs w:val="24"/>
        </w:rPr>
        <w:t xml:space="preserve">(HoD)  (Name &amp; Signature)</w:t>
      </w:r>
    </w:p>
    <w:p>
      <w:pPr>
        <w:pageBreakBefore/>
        <w:spacing w:after="360" w:before="1000"/>
        <w:jc w:val="center"/>
      </w:pPr>
      <w:r>
        <w:rPr>
          <w:rFonts w:ascii="Times New Roman" w:cs="Times New Roman" w:eastAsia="Times New Roman" w:hAnsi="Times New Roman"/>
          <w:b/>
          <w:bCs/>
          <w:sz w:val="40"/>
          <w:szCs w:val="40"/>
          <w:u w:val="single"/>
        </w:rPr>
        <w:t xml:space="preserve">ACKNOWLEDGEMENT</w:t>
      </w:r>
    </w:p>
    <w:p>
      <w:pPr>
        <w:spacing w:after="120" w:before="0" w:line="360"/>
        <w:ind w:firstLine="360"/>
        <w:jc w:val="both"/>
      </w:pPr>
      <w:r>
        <w:rPr>
          <w:rFonts w:ascii="Times New Roman" w:cs="Times New Roman" w:eastAsia="Times New Roman" w:hAnsi="Times New Roman"/>
          <w:sz w:val="24"/>
          <w:szCs w:val="24"/>
        </w:rPr>
        <w:t xml:space="preserve">I take this opportunity to express my deepest gratitude to all those who have directly or indirectly contributed to the successful completion of this capstone project. First and foremost, I am profoundly thankful to my project mentor Prof. [Name of Faculty Mentor], whose unwavering guidance, critical feedback, and technical insights shaped every chapter of this report and every commit in the accompanying code-base. His patience during the early, exploratory phase of the project and his rigour during the evaluation phase were equally invaluable.</w:t>
      </w:r>
    </w:p>
    <w:p>
      <w:pPr>
        <w:spacing w:after="120" w:before="0" w:line="360"/>
        <w:ind w:firstLine="360"/>
        <w:jc w:val="both"/>
      </w:pPr>
      <w:r>
        <w:rPr>
          <w:rFonts w:ascii="Times New Roman" w:cs="Times New Roman" w:eastAsia="Times New Roman" w:hAnsi="Times New Roman"/>
          <w:sz w:val="24"/>
          <w:szCs w:val="24"/>
        </w:rPr>
        <w:t xml:space="preserve">I gratefully acknowledge the Department of Computer Engineering at the Mukesh Patel School of Technology Management &amp; Engineering (MPSTME), and specifically Dr. Koteswararao Anne, Dean of MPSTME, whose stewardship of the capstone programme has created an environment that rewards intellectual curiosity and production-grade engineering alike.</w:t>
      </w:r>
    </w:p>
    <w:p>
      <w:pPr>
        <w:spacing w:after="120" w:before="0" w:line="360"/>
        <w:ind w:firstLine="360"/>
        <w:jc w:val="both"/>
      </w:pPr>
      <w:r>
        <w:rPr>
          <w:rFonts w:ascii="Times New Roman" w:cs="Times New Roman" w:eastAsia="Times New Roman" w:hAnsi="Times New Roman"/>
          <w:sz w:val="24"/>
          <w:szCs w:val="24"/>
        </w:rPr>
        <w:t xml:space="preserve">I extend my thanks to the internal and external panel members who reviewed this project at each of the three formal reviews; their probing questions materially improved the rigour of the experimental evaluation reported in Chapter 4.</w:t>
      </w:r>
    </w:p>
    <w:p>
      <w:pPr>
        <w:spacing w:after="120" w:before="0" w:line="360"/>
        <w:ind w:firstLine="360"/>
        <w:jc w:val="both"/>
      </w:pPr>
      <w:r>
        <w:rPr>
          <w:rFonts w:ascii="Times New Roman" w:cs="Times New Roman" w:eastAsia="Times New Roman" w:hAnsi="Times New Roman"/>
          <w:sz w:val="24"/>
          <w:szCs w:val="24"/>
        </w:rPr>
        <w:t xml:space="preserve">I am indebted to the open-source community — the developers of FastAPI, Next.js, NumPy, SciPy, scikit-learn, Recharts, and the many libraries listed in Appendix C — without whose freely-available, permissively-licensed software this project would have been economically infeasible. I thank OpenRouter for providing free-tier access to the Gemma-3n-E4B-it model, and I thank Google DeepMind for releasing the Gemma model family under an open licence.</w:t>
      </w:r>
    </w:p>
    <w:p>
      <w:pPr>
        <w:spacing w:after="120" w:before="0" w:line="360"/>
        <w:ind w:firstLine="360"/>
        <w:jc w:val="both"/>
      </w:pPr>
      <w:r>
        <w:rPr>
          <w:rFonts w:ascii="Times New Roman" w:cs="Times New Roman" w:eastAsia="Times New Roman" w:hAnsi="Times New Roman"/>
          <w:sz w:val="24"/>
          <w:szCs w:val="24"/>
        </w:rPr>
        <w:t xml:space="preserve">Finally, I thank my family for their unflagging moral and material support throughout the seventeen weeks of this project.</w:t>
      </w:r>
    </w:p>
    <w:p>
      <w:pPr>
        <w:spacing w:before="480"/>
        <w:jc w:val="right"/>
      </w:pPr>
      <w:r>
        <w:rPr>
          <w:rFonts w:ascii="Times New Roman" w:cs="Times New Roman" w:eastAsia="Times New Roman" w:hAnsi="Times New Roman"/>
          <w:b/>
          <w:bCs/>
          <w:sz w:val="24"/>
          <w:szCs w:val="24"/>
        </w:rPr>
        <w:t xml:space="preserve">Prathmesh Deshmukh</w:t>
      </w:r>
    </w:p>
    <w:p>
      <w:pPr>
        <w:jc w:val="right"/>
      </w:pPr>
      <w:r>
        <w:rPr>
          <w:rFonts w:ascii="Times New Roman" w:cs="Times New Roman" w:eastAsia="Times New Roman" w:hAnsi="Times New Roman"/>
          <w:i/>
          <w:iCs/>
          <w:sz w:val="24"/>
          <w:szCs w:val="24"/>
        </w:rPr>
        <w:t xml:space="preserve">Roll No.: XXXXXXXX</w:t>
      </w:r>
    </w:p>
    <w:p>
      <w:pPr>
        <w:jc w:val="right"/>
      </w:pPr>
      <w:r>
        <w:rPr>
          <w:rFonts w:ascii="Times New Roman" w:cs="Times New Roman" w:eastAsia="Times New Roman" w:hAnsi="Times New Roman"/>
          <w:i/>
          <w:iCs/>
          <w:sz w:val="24"/>
          <w:szCs w:val="24"/>
        </w:rPr>
        <w:t xml:space="preserve">SAP ID: XXXXXXXXXX</w:t>
      </w:r>
    </w:p>
    <w:p>
      <w:pPr>
        <w:spacing w:after="120" w:before="400"/>
      </w:pPr>
      <w:r>
        <w:rPr>
          <w:rFonts w:ascii="Times New Roman" w:cs="Times New Roman" w:eastAsia="Times New Roman" w:hAnsi="Times New Roman"/>
          <w:b/>
          <w:bCs/>
          <w:sz w:val="24"/>
          <w:szCs w:val="24"/>
        </w:rPr>
        <w:t xml:space="preserve">Student details: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940"/>
      </w:tblGrid>
      <w:tr>
        <w:tc>
          <w:tcPr>
            <w:tcW w:type="dxa" w:w="3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Name</w:t>
            </w:r>
          </w:p>
        </w:tc>
        <w:tc>
          <w:tcPr>
            <w:tcW w:type="dxa" w:w="25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Roll No.</w:t>
            </w:r>
          </w:p>
        </w:tc>
        <w:tc>
          <w:tcPr>
            <w:tcW w:type="dxa" w:w="29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SAP ID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Prathmesh Deshmukh</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XXXXXXXX</w:t>
            </w:r>
          </w:p>
        </w:tc>
        <w:tc>
          <w:tcPr>
            <w:tcW w:type="dxa" w:w="2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XXXXXXXXXX</w:t>
            </w:r>
          </w:p>
        </w:tc>
      </w:tr>
    </w:tbl>
    <w:p>
      <w:pPr>
        <w:pageBreakBefore/>
        <w:spacing w:after="480" w:before="1000"/>
        <w:jc w:val="center"/>
      </w:pPr>
      <w:r>
        <w:rPr>
          <w:rFonts w:ascii="Times New Roman" w:cs="Times New Roman" w:eastAsia="Times New Roman" w:hAnsi="Times New Roman"/>
          <w:b/>
          <w:bCs/>
          <w:sz w:val="40"/>
          <w:szCs w:val="40"/>
        </w:rPr>
        <w:t xml:space="preserve">ABSTRACT</w:t>
      </w:r>
    </w:p>
    <w:p>
      <w:pPr>
        <w:spacing w:after="120" w:before="0" w:line="360"/>
        <w:ind w:firstLine="360"/>
        <w:jc w:val="both"/>
      </w:pPr>
      <w:r>
        <w:rPr>
          <w:rFonts w:ascii="Times New Roman" w:cs="Times New Roman" w:eastAsia="Times New Roman" w:hAnsi="Times New Roman"/>
          <w:sz w:val="24"/>
          <w:szCs w:val="24"/>
        </w:rPr>
        <w:t xml:space="preserve">Algorithmic portfolio management sits at the intersection of three disciplines — classical stochastic calculus, statistical factor models, and natural-language reasoning — yet no open, reproducible platform today couples all three on commodity hardware. Institutional desks still rely on siloed spreadsheets, closed Bloomberg terminals, and manual morning-note authoring; this creates latency, opacity, and high licensing cost that together exclude independent researchers and student practitioners.</w:t>
      </w:r>
    </w:p>
    <w:p>
      <w:pPr>
        <w:spacing w:after="120" w:before="0" w:line="360"/>
        <w:ind w:firstLine="360"/>
        <w:jc w:val="both"/>
      </w:pPr>
      <w:r>
        <w:rPr>
          <w:rFonts w:ascii="Times New Roman" w:cs="Times New Roman" w:eastAsia="Times New Roman" w:hAnsi="Times New Roman"/>
          <w:sz w:val="24"/>
          <w:szCs w:val="24"/>
        </w:rPr>
        <w:t xml:space="preserve">This capstone project designs, implements, and empirically evaluates Hedgyyyboo — an open-source, multi-asset quantitative analytics platform that unifies (i) pricing engines drawn from stochastic calculus (Ornstein–Uhlenbeck, Hull–White, Heston, Neural-SDE), (ii) factor-model dimensionality reduction applied to the United States Treasury yield curve (Principal Component Analysis, PCA), (iii) heteroskedastic tail-risk attribution (GARCH(1,1) with Value-at-Risk / Expected-Shortfall), and (iv) a retrieval-augmented Large Language Model (RAG-LLM) narrative layer backed by Google's Gemma-3n-E4B-it served free-of-charge through OpenRouter.</w:t>
      </w:r>
    </w:p>
    <w:p>
      <w:pPr>
        <w:spacing w:after="120" w:before="0" w:line="360"/>
        <w:ind w:firstLine="360"/>
        <w:jc w:val="both"/>
      </w:pPr>
      <w:r>
        <w:rPr>
          <w:rFonts w:ascii="Times New Roman" w:cs="Times New Roman" w:eastAsia="Times New Roman" w:hAnsi="Times New Roman"/>
          <w:sz w:val="24"/>
          <w:szCs w:val="24"/>
        </w:rPr>
        <w:t xml:space="preserve">The back-end is a FastAPI micro-service exposing fifty-three REST endpoints organised across six phases; the front-end is a Next.js 16 single-page application rendering three desks — a Main dashboard, a Fixed-Income desk, and an FX-Macro desk. A SQLite-backed trade ledger, an APScheduler morning-brief cron at 08:00 IST, and a server-side LLM cache complete the stack. The project was benchmarked on two years of daily data across 28 G10+EM currency pairs, the 11-tenor U.S. Treasury curve, and fifty S&amp;P 500 constituents.</w:t>
      </w:r>
    </w:p>
    <w:p>
      <w:pPr>
        <w:spacing w:after="120" w:before="0" w:line="360"/>
        <w:ind w:firstLine="360"/>
        <w:jc w:val="both"/>
      </w:pPr>
      <w:r>
        <w:rPr>
          <w:rFonts w:ascii="Times New Roman" w:cs="Times New Roman" w:eastAsia="Times New Roman" w:hAnsi="Times New Roman"/>
          <w:sz w:val="24"/>
          <w:szCs w:val="24"/>
        </w:rPr>
        <w:t xml:space="preserve">Empirically, PCA captures 98.7% of yield-curve variance in three factors (Level, Slope, Curvature); the Ornstein–Uhlenbeck Maximum Likelihood Estimator produces half-life estimates within ±1.4 days of bootstrap ground truth; a simple OU mean-reversion strategy on the five most mean-reverting G10 crosses achieves a back-tested Sharpe ratio of 1.38 gross of transaction cost; GARCH(1,1) passes Kupiec's unconditional-coverage test for 47 of 50 tickers (94%); and the RAG pipeline produces a complete morning macro brief in 7.2 ± 1.1 seconds at zero marginal cost on the Gemma-3n free tier. An undocumented quirk of Gemma-3n — its rejection of system-role messages — was diagnosed and worked around by merging the system prompt into the user turn.</w:t>
      </w:r>
    </w:p>
    <w:p>
      <w:pPr>
        <w:spacing w:after="120" w:before="0" w:line="360"/>
        <w:ind w:firstLine="360"/>
        <w:jc w:val="both"/>
      </w:pPr>
      <w:r>
        <w:rPr>
          <w:rFonts w:ascii="Times New Roman" w:cs="Times New Roman" w:eastAsia="Times New Roman" w:hAnsi="Times New Roman"/>
          <w:sz w:val="24"/>
          <w:szCs w:val="24"/>
        </w:rPr>
        <w:t xml:space="preserve">The salient contribution is therefore twofold. First, Hedgyyyboo proves that a single commodity laptop can host a research-grade multi-asset desk whose factual grounding approaches 95% on manually-audited morning briefs. Second, the open-source code base (FastAPI + Next.js + Python + TypeScript) is released under a permissive licence and serves as a reference implementation for subsequent capstone cohorts.</w:t>
      </w:r>
    </w:p>
    <w:p>
      <w:pPr>
        <w:pageBreakBefore/>
        <w:spacing w:after="360" w:before="1000"/>
        <w:jc w:val="center"/>
      </w:pPr>
      <w:r>
        <w:rPr>
          <w:rFonts w:ascii="Times New Roman" w:cs="Times New Roman" w:eastAsia="Times New Roman" w:hAnsi="Times New Roman"/>
          <w:b/>
          <w:bCs/>
          <w:sz w:val="32"/>
          <w:szCs w:val="32"/>
        </w:rPr>
        <w:t xml:space="preserve">Table of Contents</w:t>
      </w:r>
    </w:p>
    <w:p>
      <w:pPr>
        <w:tabs>
          <w:tab w:val="right" w:pos="9000"/>
        </w:tabs>
        <w:spacing w:after="60" w:before="120"/>
      </w:pPr>
      <w:r>
        <w:rPr>
          <w:rFonts w:ascii="Times New Roman" w:cs="Times New Roman" w:eastAsia="Times New Roman" w:hAnsi="Times New Roman"/>
          <w:b/>
          <w:bCs/>
          <w:sz w:val="24"/>
          <w:szCs w:val="24"/>
        </w:rPr>
        <w:t xml:space="preserve">Topic</w:t>
      </w:r>
      <w:r>
        <w:rPr>
          <w:rFonts w:ascii="Times New Roman" w:cs="Times New Roman" w:eastAsia="Times New Roman" w:hAnsi="Times New Roman"/>
          <w:b/>
          <w:bCs/>
          <w:sz w:val="24"/>
          <w:szCs w:val="24"/>
        </w:rPr>
        <w:t xml:space="preserve">	Page No.</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Certificate</w:t>
      </w:r>
      <w:r>
        <w:rPr>
          <w:rFonts w:ascii="Times New Roman" w:cs="Times New Roman" w:eastAsia="Times New Roman" w:hAnsi="Times New Roman"/>
          <w:b w:val="false"/>
          <w:bCs w:val="false"/>
          <w:sz w:val="24"/>
          <w:szCs w:val="24"/>
        </w:rPr>
        <w:t xml:space="preserve">	ii</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 xml:space="preserve">	iii</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iv</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v</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 xml:space="preserve">	ix</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 xml:space="preserve">	x</w:t>
      </w:r>
    </w:p>
    <w:p>
      <w:pPr>
        <w:tabs>
          <w:tab w:val="right" w:pos="9000" w:leader="dot"/>
        </w:tabs>
        <w:spacing w:after="60" w:line="280"/>
        <w:ind w:left="0"/>
      </w:pPr>
      <w:r>
        <w:rPr>
          <w:rFonts w:ascii="Times New Roman" w:cs="Times New Roman" w:eastAsia="Times New Roman" w:hAnsi="Times New Roman"/>
          <w:b w:val="false"/>
          <w:bCs w:val="false"/>
          <w:sz w:val="24"/>
          <w:szCs w:val="24"/>
        </w:rPr>
        <w:t xml:space="preserve">Abbreviations</w:t>
      </w:r>
      <w:r>
        <w:rPr>
          <w:rFonts w:ascii="Times New Roman" w:cs="Times New Roman" w:eastAsia="Times New Roman" w:hAnsi="Times New Roman"/>
          <w:b w:val="false"/>
          <w:bCs w:val="false"/>
          <w:sz w:val="24"/>
          <w:szCs w:val="24"/>
        </w:rPr>
        <w:t xml:space="preserve">	xi</w:t>
      </w:r>
    </w:p>
    <w:p>
      <w:pPr>
        <w:tabs>
          <w:tab w:val="right" w:pos="9000" w:leader="dot"/>
        </w:tabs>
        <w:spacing w:after="60" w:line="280"/>
        <w:ind w:left="0"/>
      </w:pPr>
      <w:r>
        <w:rPr>
          <w:rFonts w:ascii="Times New Roman" w:cs="Times New Roman" w:eastAsia="Times New Roman" w:hAnsi="Times New Roman"/>
          <w:b/>
          <w:bCs/>
          <w:sz w:val="24"/>
          <w:szCs w:val="24"/>
        </w:rPr>
        <w:t xml:space="preserve">Chapter 1 — Introduction</w:t>
      </w:r>
      <w:r>
        <w:rPr>
          <w:rFonts w:ascii="Times New Roman" w:cs="Times New Roman" w:eastAsia="Times New Roman" w:hAnsi="Times New Roman"/>
          <w:b/>
          <w:bCs/>
          <w:sz w:val="24"/>
          <w:szCs w:val="24"/>
        </w:rPr>
        <w:t xml:space="preserve">	1</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1.1  Background of the Project Topic</w:t>
      </w:r>
      <w:r>
        <w:rPr>
          <w:rFonts w:ascii="Times New Roman" w:cs="Times New Roman" w:eastAsia="Times New Roman" w:hAnsi="Times New Roman"/>
          <w:b w:val="false"/>
          <w:bCs w:val="false"/>
          <w:sz w:val="24"/>
          <w:szCs w:val="24"/>
        </w:rPr>
        <w:t xml:space="preserve">	1</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1.2  Motivation and Scope of the Report</w:t>
      </w:r>
      <w:r>
        <w:rPr>
          <w:rFonts w:ascii="Times New Roman" w:cs="Times New Roman" w:eastAsia="Times New Roman" w:hAnsi="Times New Roman"/>
          <w:b w:val="false"/>
          <w:bCs w:val="false"/>
          <w:sz w:val="24"/>
          <w:szCs w:val="24"/>
        </w:rPr>
        <w:t xml:space="preserve">	2</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3</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1.4  Salient Contribution</w:t>
      </w:r>
      <w:r>
        <w:rPr>
          <w:rFonts w:ascii="Times New Roman" w:cs="Times New Roman" w:eastAsia="Times New Roman" w:hAnsi="Times New Roman"/>
          <w:b w:val="false"/>
          <w:bCs w:val="false"/>
          <w:sz w:val="24"/>
          <w:szCs w:val="24"/>
        </w:rPr>
        <w:t xml:space="preserve">	4</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1.5  Organisation of the Report</w:t>
      </w:r>
      <w:r>
        <w:rPr>
          <w:rFonts w:ascii="Times New Roman" w:cs="Times New Roman" w:eastAsia="Times New Roman" w:hAnsi="Times New Roman"/>
          <w:b w:val="false"/>
          <w:bCs w:val="false"/>
          <w:sz w:val="24"/>
          <w:szCs w:val="24"/>
        </w:rPr>
        <w:t xml:space="preserve">	5</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1.6  Summary</w:t>
      </w:r>
      <w:r>
        <w:rPr>
          <w:rFonts w:ascii="Times New Roman" w:cs="Times New Roman" w:eastAsia="Times New Roman" w:hAnsi="Times New Roman"/>
          <w:b w:val="false"/>
          <w:bCs w:val="false"/>
          <w:sz w:val="24"/>
          <w:szCs w:val="24"/>
        </w:rPr>
        <w:t xml:space="preserve">	6</w:t>
      </w:r>
    </w:p>
    <w:p>
      <w:pPr>
        <w:tabs>
          <w:tab w:val="right" w:pos="9000" w:leader="dot"/>
        </w:tabs>
        <w:spacing w:after="60" w:line="280"/>
        <w:ind w:left="0"/>
      </w:pPr>
      <w:r>
        <w:rPr>
          <w:rFonts w:ascii="Times New Roman" w:cs="Times New Roman" w:eastAsia="Times New Roman" w:hAnsi="Times New Roman"/>
          <w:b/>
          <w:bCs/>
          <w:sz w:val="24"/>
          <w:szCs w:val="24"/>
        </w:rPr>
        <w:t xml:space="preserve">Chapter 2 — Literature Survey</w:t>
      </w:r>
      <w:r>
        <w:rPr>
          <w:rFonts w:ascii="Times New Roman" w:cs="Times New Roman" w:eastAsia="Times New Roman" w:hAnsi="Times New Roman"/>
          <w:b/>
          <w:bCs/>
          <w:sz w:val="24"/>
          <w:szCs w:val="24"/>
        </w:rPr>
        <w:t xml:space="preserve">	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2.1  Introduction to the Overall Topic</w:t>
      </w:r>
      <w:r>
        <w:rPr>
          <w:rFonts w:ascii="Times New Roman" w:cs="Times New Roman" w:eastAsia="Times New Roman" w:hAnsi="Times New Roman"/>
          <w:b w:val="false"/>
          <w:bCs w:val="false"/>
          <w:sz w:val="24"/>
          <w:szCs w:val="24"/>
        </w:rPr>
        <w:t xml:space="preserve">	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2.2  Stochastic Calculus Pricing Models</w:t>
      </w:r>
      <w:r>
        <w:rPr>
          <w:rFonts w:ascii="Times New Roman" w:cs="Times New Roman" w:eastAsia="Times New Roman" w:hAnsi="Times New Roman"/>
          <w:b w:val="false"/>
          <w:bCs w:val="false"/>
          <w:sz w:val="24"/>
          <w:szCs w:val="24"/>
        </w:rPr>
        <w:t xml:space="preserve">	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2.3  Factor Models and Yield-Curve Dimensionality Reduction</w:t>
      </w:r>
      <w:r>
        <w:rPr>
          <w:rFonts w:ascii="Times New Roman" w:cs="Times New Roman" w:eastAsia="Times New Roman" w:hAnsi="Times New Roman"/>
          <w:b w:val="false"/>
          <w:bCs w:val="false"/>
          <w:sz w:val="24"/>
          <w:szCs w:val="24"/>
        </w:rPr>
        <w:t xml:space="preserve">	11</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2.4  Volatility and Tail-Risk Models</w:t>
      </w:r>
      <w:r>
        <w:rPr>
          <w:rFonts w:ascii="Times New Roman" w:cs="Times New Roman" w:eastAsia="Times New Roman" w:hAnsi="Times New Roman"/>
          <w:b w:val="false"/>
          <w:bCs w:val="false"/>
          <w:sz w:val="24"/>
          <w:szCs w:val="24"/>
        </w:rPr>
        <w:t xml:space="preserve">	12</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2.5  Neural Stochastic Differential Equations</w:t>
      </w:r>
      <w:r>
        <w:rPr>
          <w:rFonts w:ascii="Times New Roman" w:cs="Times New Roman" w:eastAsia="Times New Roman" w:hAnsi="Times New Roman"/>
          <w:b w:val="false"/>
          <w:bCs w:val="false"/>
          <w:sz w:val="24"/>
          <w:szCs w:val="24"/>
        </w:rPr>
        <w:t xml:space="preserve">	14</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2.6  LLMs in Finance and RAG</w:t>
      </w:r>
      <w:r>
        <w:rPr>
          <w:rFonts w:ascii="Times New Roman" w:cs="Times New Roman" w:eastAsia="Times New Roman" w:hAnsi="Times New Roman"/>
          <w:b w:val="false"/>
          <w:bCs w:val="false"/>
          <w:sz w:val="24"/>
          <w:szCs w:val="24"/>
        </w:rPr>
        <w:t xml:space="preserve">	15</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2.7  Research Gap and Problem Formulation</w:t>
      </w:r>
      <w:r>
        <w:rPr>
          <w:rFonts w:ascii="Times New Roman" w:cs="Times New Roman" w:eastAsia="Times New Roman" w:hAnsi="Times New Roman"/>
          <w:b w:val="false"/>
          <w:bCs w:val="false"/>
          <w:sz w:val="24"/>
          <w:szCs w:val="24"/>
        </w:rPr>
        <w:t xml:space="preserve">	17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2.8  Summary</w:t>
      </w:r>
      <w:r>
        <w:rPr>
          <w:rFonts w:ascii="Times New Roman" w:cs="Times New Roman" w:eastAsia="Times New Roman" w:hAnsi="Times New Roman"/>
          <w:b w:val="false"/>
          <w:bCs w:val="false"/>
          <w:sz w:val="24"/>
          <w:szCs w:val="24"/>
        </w:rPr>
        <w:t xml:space="preserve">	18</w:t>
      </w:r>
    </w:p>
    <w:p>
      <w:pPr>
        <w:tabs>
          <w:tab w:val="right" w:pos="9000" w:leader="dot"/>
        </w:tabs>
        <w:spacing w:after="60" w:line="280"/>
        <w:ind w:left="0"/>
      </w:pPr>
      <w:r>
        <w:rPr>
          <w:rFonts w:ascii="Times New Roman" w:cs="Times New Roman" w:eastAsia="Times New Roman" w:hAnsi="Times New Roman"/>
          <w:b/>
          <w:bCs/>
          <w:sz w:val="24"/>
          <w:szCs w:val="24"/>
        </w:rPr>
        <w:t xml:space="preserve">Chapter 3 — Methodology and Implementation</w:t>
      </w:r>
      <w:r>
        <w:rPr>
          <w:rFonts w:ascii="Times New Roman" w:cs="Times New Roman" w:eastAsia="Times New Roman" w:hAnsi="Times New Roman"/>
          <w:b/>
          <w:bCs/>
          <w:sz w:val="24"/>
          <w:szCs w:val="24"/>
        </w:rPr>
        <w:t xml:space="preserve">	19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3.1  Block Diagram of the System</w:t>
      </w:r>
      <w:r>
        <w:rPr>
          <w:rFonts w:ascii="Times New Roman" w:cs="Times New Roman" w:eastAsia="Times New Roman" w:hAnsi="Times New Roman"/>
          <w:b w:val="false"/>
          <w:bCs w:val="false"/>
          <w:sz w:val="24"/>
          <w:szCs w:val="24"/>
        </w:rPr>
        <w:t xml:space="preserve">	19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3.2  Hardware and Software Description</w:t>
      </w:r>
      <w:r>
        <w:rPr>
          <w:rFonts w:ascii="Times New Roman" w:cs="Times New Roman" w:eastAsia="Times New Roman" w:hAnsi="Times New Roman"/>
          <w:b w:val="false"/>
          <w:bCs w:val="false"/>
          <w:sz w:val="24"/>
          <w:szCs w:val="24"/>
        </w:rPr>
        <w:t xml:space="preserve">	20</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3.3  Software Description, Flowchart and Algorithms</w:t>
      </w:r>
      <w:r>
        <w:rPr>
          <w:rFonts w:ascii="Times New Roman" w:cs="Times New Roman" w:eastAsia="Times New Roman" w:hAnsi="Times New Roman"/>
          <w:b w:val="false"/>
          <w:bCs w:val="false"/>
          <w:sz w:val="24"/>
          <w:szCs w:val="24"/>
        </w:rPr>
        <w:t xml:space="preserve">	22</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3.3.1  Ornstein–Uhlenbeck MLE</w:t>
      </w:r>
      <w:r>
        <w:rPr>
          <w:rFonts w:ascii="Times New Roman" w:cs="Times New Roman" w:eastAsia="Times New Roman" w:hAnsi="Times New Roman"/>
          <w:b w:val="false"/>
          <w:bCs w:val="false"/>
          <w:sz w:val="24"/>
          <w:szCs w:val="24"/>
        </w:rPr>
        <w:t xml:space="preserve">	23</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3.3.2  Hurst Exponent</w:t>
      </w:r>
      <w:r>
        <w:rPr>
          <w:rFonts w:ascii="Times New Roman" w:cs="Times New Roman" w:eastAsia="Times New Roman" w:hAnsi="Times New Roman"/>
          <w:b w:val="false"/>
          <w:bCs w:val="false"/>
          <w:sz w:val="24"/>
          <w:szCs w:val="24"/>
        </w:rPr>
        <w:t xml:space="preserve">	24</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3.3.3  GARCH(1,1)</w:t>
      </w:r>
      <w:r>
        <w:rPr>
          <w:rFonts w:ascii="Times New Roman" w:cs="Times New Roman" w:eastAsia="Times New Roman" w:hAnsi="Times New Roman"/>
          <w:b w:val="false"/>
          <w:bCs w:val="false"/>
          <w:sz w:val="24"/>
          <w:szCs w:val="24"/>
        </w:rPr>
        <w:t xml:space="preserve">	24</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3.3.4  PCA of the Yield Curve</w:t>
      </w:r>
      <w:r>
        <w:rPr>
          <w:rFonts w:ascii="Times New Roman" w:cs="Times New Roman" w:eastAsia="Times New Roman" w:hAnsi="Times New Roman"/>
          <w:b w:val="false"/>
          <w:bCs w:val="false"/>
          <w:sz w:val="24"/>
          <w:szCs w:val="24"/>
        </w:rPr>
        <w:t xml:space="preserve">	25</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3.3.5  Hull–White Swaption</w:t>
      </w:r>
      <w:r>
        <w:rPr>
          <w:rFonts w:ascii="Times New Roman" w:cs="Times New Roman" w:eastAsia="Times New Roman" w:hAnsi="Times New Roman"/>
          <w:b w:val="false"/>
          <w:bCs w:val="false"/>
          <w:sz w:val="24"/>
          <w:szCs w:val="24"/>
        </w:rPr>
        <w:t xml:space="preserve">	26</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3.3.6  Heston Monte-Carlo</w:t>
      </w:r>
      <w:r>
        <w:rPr>
          <w:rFonts w:ascii="Times New Roman" w:cs="Times New Roman" w:eastAsia="Times New Roman" w:hAnsi="Times New Roman"/>
          <w:b w:val="false"/>
          <w:bCs w:val="false"/>
          <w:sz w:val="24"/>
          <w:szCs w:val="24"/>
        </w:rPr>
        <w:t xml:space="preserve">	27</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3.3.7  Neural SDE</w:t>
      </w:r>
      <w:r>
        <w:rPr>
          <w:rFonts w:ascii="Times New Roman" w:cs="Times New Roman" w:eastAsia="Times New Roman" w:hAnsi="Times New Roman"/>
          <w:b w:val="false"/>
          <w:bCs w:val="false"/>
          <w:sz w:val="24"/>
          <w:szCs w:val="24"/>
        </w:rPr>
        <w:t xml:space="preserve">	27</w:t>
      </w:r>
    </w:p>
    <w:p>
      <w:pPr>
        <w:tabs>
          <w:tab w:val="right" w:pos="9000" w:leader="dot"/>
        </w:tabs>
        <w:spacing w:after="60" w:line="280"/>
        <w:ind w:left="720"/>
      </w:pPr>
      <w:r>
        <w:rPr>
          <w:rFonts w:ascii="Times New Roman" w:cs="Times New Roman" w:eastAsia="Times New Roman" w:hAnsi="Times New Roman"/>
          <w:b w:val="false"/>
          <w:bCs w:val="false"/>
          <w:sz w:val="24"/>
          <w:szCs w:val="24"/>
        </w:rPr>
        <w:t xml:space="preserve">3.3.8  LLM Integration Layer</w:t>
      </w:r>
      <w:r>
        <w:rPr>
          <w:rFonts w:ascii="Times New Roman" w:cs="Times New Roman" w:eastAsia="Times New Roman" w:hAnsi="Times New Roman"/>
          <w:b w:val="false"/>
          <w:bCs w:val="false"/>
          <w:sz w:val="24"/>
          <w:szCs w:val="24"/>
        </w:rPr>
        <w:t xml:space="preserve">	28</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3.4  Use-Case Diagram</w:t>
      </w:r>
      <w:r>
        <w:rPr>
          <w:rFonts w:ascii="Times New Roman" w:cs="Times New Roman" w:eastAsia="Times New Roman" w:hAnsi="Times New Roman"/>
          <w:b w:val="false"/>
          <w:bCs w:val="false"/>
          <w:sz w:val="24"/>
          <w:szCs w:val="24"/>
        </w:rPr>
        <w:t xml:space="preserve">	29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3.5  Development Timeline</w:t>
      </w:r>
      <w:r>
        <w:rPr>
          <w:rFonts w:ascii="Times New Roman" w:cs="Times New Roman" w:eastAsia="Times New Roman" w:hAnsi="Times New Roman"/>
          <w:b w:val="false"/>
          <w:bCs w:val="false"/>
          <w:sz w:val="24"/>
          <w:szCs w:val="24"/>
        </w:rPr>
        <w:t xml:space="preserve">	30</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3.6  Summary</w:t>
      </w:r>
      <w:r>
        <w:rPr>
          <w:rFonts w:ascii="Times New Roman" w:cs="Times New Roman" w:eastAsia="Times New Roman" w:hAnsi="Times New Roman"/>
          <w:b w:val="false"/>
          <w:bCs w:val="false"/>
          <w:sz w:val="24"/>
          <w:szCs w:val="24"/>
        </w:rPr>
        <w:t xml:space="preserve">	31</w:t>
      </w:r>
    </w:p>
    <w:p>
      <w:pPr>
        <w:tabs>
          <w:tab w:val="right" w:pos="9000" w:leader="dot"/>
        </w:tabs>
        <w:spacing w:after="60" w:line="280"/>
        <w:ind w:left="0"/>
      </w:pPr>
      <w:r>
        <w:rPr>
          <w:rFonts w:ascii="Times New Roman" w:cs="Times New Roman" w:eastAsia="Times New Roman" w:hAnsi="Times New Roman"/>
          <w:b/>
          <w:bCs/>
          <w:sz w:val="24"/>
          <w:szCs w:val="24"/>
        </w:rPr>
        <w:t xml:space="preserve">Chapter 4 — Results and Analysis</w:t>
      </w:r>
      <w:r>
        <w:rPr>
          <w:rFonts w:ascii="Times New Roman" w:cs="Times New Roman" w:eastAsia="Times New Roman" w:hAnsi="Times New Roman"/>
          <w:b/>
          <w:bCs/>
          <w:sz w:val="24"/>
          <w:szCs w:val="24"/>
        </w:rPr>
        <w:t xml:space="preserve">	32</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4.1  PCA Yield-Curve Decomposition</w:t>
      </w:r>
      <w:r>
        <w:rPr>
          <w:rFonts w:ascii="Times New Roman" w:cs="Times New Roman" w:eastAsia="Times New Roman" w:hAnsi="Times New Roman"/>
          <w:b w:val="false"/>
          <w:bCs w:val="false"/>
          <w:sz w:val="24"/>
          <w:szCs w:val="24"/>
        </w:rPr>
        <w:t xml:space="preserve">	32</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4.2  OU Mean-Reversion Diagnostics</w:t>
      </w:r>
      <w:r>
        <w:rPr>
          <w:rFonts w:ascii="Times New Roman" w:cs="Times New Roman" w:eastAsia="Times New Roman" w:hAnsi="Times New Roman"/>
          <w:b w:val="false"/>
          <w:bCs w:val="false"/>
          <w:sz w:val="24"/>
          <w:szCs w:val="24"/>
        </w:rPr>
        <w:t xml:space="preserve">	34</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4.3  Back-Test</w:t>
      </w:r>
      <w:r>
        <w:rPr>
          <w:rFonts w:ascii="Times New Roman" w:cs="Times New Roman" w:eastAsia="Times New Roman" w:hAnsi="Times New Roman"/>
          <w:b w:val="false"/>
          <w:bCs w:val="false"/>
          <w:sz w:val="24"/>
          <w:szCs w:val="24"/>
        </w:rPr>
        <w:t xml:space="preserve">	35</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4.4  GARCH Kupiec Coverage</w:t>
      </w:r>
      <w:r>
        <w:rPr>
          <w:rFonts w:ascii="Times New Roman" w:cs="Times New Roman" w:eastAsia="Times New Roman" w:hAnsi="Times New Roman"/>
          <w:b w:val="false"/>
          <w:bCs w:val="false"/>
          <w:sz w:val="24"/>
          <w:szCs w:val="24"/>
        </w:rPr>
        <w:t xml:space="preserve">	36</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4.5  LLM Latency and Hallucination Audit</w:t>
      </w:r>
      <w:r>
        <w:rPr>
          <w:rFonts w:ascii="Times New Roman" w:cs="Times New Roman" w:eastAsia="Times New Roman" w:hAnsi="Times New Roman"/>
          <w:b w:val="false"/>
          <w:bCs w:val="false"/>
          <w:sz w:val="24"/>
          <w:szCs w:val="24"/>
        </w:rPr>
        <w:t xml:space="preserve">	37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4.6  UI Performance</w:t>
      </w:r>
      <w:r>
        <w:rPr>
          <w:rFonts w:ascii="Times New Roman" w:cs="Times New Roman" w:eastAsia="Times New Roman" w:hAnsi="Times New Roman"/>
          <w:b w:val="false"/>
          <w:bCs w:val="false"/>
          <w:sz w:val="24"/>
          <w:szCs w:val="24"/>
        </w:rPr>
        <w:t xml:space="preserve">	38</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4.7  IEEE Standards Compliance</w:t>
      </w:r>
      <w:r>
        <w:rPr>
          <w:rFonts w:ascii="Times New Roman" w:cs="Times New Roman" w:eastAsia="Times New Roman" w:hAnsi="Times New Roman"/>
          <w:b w:val="false"/>
          <w:bCs w:val="false"/>
          <w:sz w:val="24"/>
          <w:szCs w:val="24"/>
        </w:rPr>
        <w:t xml:space="preserve">	39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4.8  Summary</w:t>
      </w:r>
      <w:r>
        <w:rPr>
          <w:rFonts w:ascii="Times New Roman" w:cs="Times New Roman" w:eastAsia="Times New Roman" w:hAnsi="Times New Roman"/>
          <w:b w:val="false"/>
          <w:bCs w:val="false"/>
          <w:sz w:val="24"/>
          <w:szCs w:val="24"/>
        </w:rPr>
        <w:t xml:space="preserve">	40</w:t>
      </w:r>
    </w:p>
    <w:p>
      <w:pPr>
        <w:tabs>
          <w:tab w:val="right" w:pos="9000" w:leader="dot"/>
        </w:tabs>
        <w:spacing w:after="60" w:line="280"/>
        <w:ind w:left="0"/>
      </w:pPr>
      <w:r>
        <w:rPr>
          <w:rFonts w:ascii="Times New Roman" w:cs="Times New Roman" w:eastAsia="Times New Roman" w:hAnsi="Times New Roman"/>
          <w:b/>
          <w:bCs/>
          <w:sz w:val="24"/>
          <w:szCs w:val="24"/>
        </w:rPr>
        <w:t xml:space="preserve">Chapter 5 — Advantages, Limitations and Applications</w:t>
      </w:r>
      <w:r>
        <w:rPr>
          <w:rFonts w:ascii="Times New Roman" w:cs="Times New Roman" w:eastAsia="Times New Roman" w:hAnsi="Times New Roman"/>
          <w:b/>
          <w:bCs/>
          <w:sz w:val="24"/>
          <w:szCs w:val="24"/>
        </w:rPr>
        <w:t xml:space="preserve">	41</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5.1  Advantages</w:t>
      </w:r>
      <w:r>
        <w:rPr>
          <w:rFonts w:ascii="Times New Roman" w:cs="Times New Roman" w:eastAsia="Times New Roman" w:hAnsi="Times New Roman"/>
          <w:b w:val="false"/>
          <w:bCs w:val="false"/>
          <w:sz w:val="24"/>
          <w:szCs w:val="24"/>
        </w:rPr>
        <w:t xml:space="preserve">	41</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5.2  Limitations</w:t>
      </w:r>
      <w:r>
        <w:rPr>
          <w:rFonts w:ascii="Times New Roman" w:cs="Times New Roman" w:eastAsia="Times New Roman" w:hAnsi="Times New Roman"/>
          <w:b w:val="false"/>
          <w:bCs w:val="false"/>
          <w:sz w:val="24"/>
          <w:szCs w:val="24"/>
        </w:rPr>
        <w:t xml:space="preserve">	42</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5.3  Applications</w:t>
      </w:r>
      <w:r>
        <w:rPr>
          <w:rFonts w:ascii="Times New Roman" w:cs="Times New Roman" w:eastAsia="Times New Roman" w:hAnsi="Times New Roman"/>
          <w:b w:val="false"/>
          <w:bCs w:val="false"/>
          <w:sz w:val="24"/>
          <w:szCs w:val="24"/>
        </w:rPr>
        <w:t xml:space="preserve">	44</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5.4  Summary</w:t>
      </w:r>
      <w:r>
        <w:rPr>
          <w:rFonts w:ascii="Times New Roman" w:cs="Times New Roman" w:eastAsia="Times New Roman" w:hAnsi="Times New Roman"/>
          <w:b w:val="false"/>
          <w:bCs w:val="false"/>
          <w:sz w:val="24"/>
          <w:szCs w:val="24"/>
        </w:rPr>
        <w:t xml:space="preserve">	46</w:t>
      </w:r>
    </w:p>
    <w:p>
      <w:pPr>
        <w:tabs>
          <w:tab w:val="right" w:pos="9000" w:leader="dot"/>
        </w:tabs>
        <w:spacing w:after="60" w:line="280"/>
        <w:ind w:left="0"/>
      </w:pPr>
      <w:r>
        <w:rPr>
          <w:rFonts w:ascii="Times New Roman" w:cs="Times New Roman" w:eastAsia="Times New Roman" w:hAnsi="Times New Roman"/>
          <w:b/>
          <w:bCs/>
          <w:sz w:val="24"/>
          <w:szCs w:val="24"/>
        </w:rPr>
        <w:t xml:space="preserve">Chapter 6 — Conclusion and Future Scope</w:t>
      </w:r>
      <w:r>
        <w:rPr>
          <w:rFonts w:ascii="Times New Roman" w:cs="Times New Roman" w:eastAsia="Times New Roman" w:hAnsi="Times New Roman"/>
          <w:b/>
          <w:bCs/>
          <w:sz w:val="24"/>
          <w:szCs w:val="24"/>
        </w:rPr>
        <w:t xml:space="preserve">	47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6.1  Summary of Work Carried Out</w:t>
      </w:r>
      <w:r>
        <w:rPr>
          <w:rFonts w:ascii="Times New Roman" w:cs="Times New Roman" w:eastAsia="Times New Roman" w:hAnsi="Times New Roman"/>
          <w:b w:val="false"/>
          <w:bCs w:val="false"/>
          <w:sz w:val="24"/>
          <w:szCs w:val="24"/>
        </w:rPr>
        <w:t xml:space="preserve">	47</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6.2  Conclusions</w:t>
      </w:r>
      <w:r>
        <w:rPr>
          <w:rFonts w:ascii="Times New Roman" w:cs="Times New Roman" w:eastAsia="Times New Roman" w:hAnsi="Times New Roman"/>
          <w:b w:val="false"/>
          <w:bCs w:val="false"/>
          <w:sz w:val="24"/>
          <w:szCs w:val="24"/>
        </w:rPr>
        <w:t xml:space="preserve">	48</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6.3  Future Scope</w:t>
      </w:r>
      <w:r>
        <w:rPr>
          <w:rFonts w:ascii="Times New Roman" w:cs="Times New Roman" w:eastAsia="Times New Roman" w:hAnsi="Times New Roman"/>
          <w:b w:val="false"/>
          <w:bCs w:val="false"/>
          <w:sz w:val="24"/>
          <w:szCs w:val="24"/>
        </w:rPr>
        <w:t xml:space="preserve">	49</w:t>
      </w:r>
    </w:p>
    <w:p>
      <w:pPr>
        <w:tabs>
          <w:tab w:val="right" w:pos="9000" w:leader="dot"/>
        </w:tabs>
        <w:spacing w:after="60" w:line="280"/>
        <w:ind w:left="360"/>
      </w:pPr>
      <w:r>
        <w:rPr>
          <w:rFonts w:ascii="Times New Roman" w:cs="Times New Roman" w:eastAsia="Times New Roman" w:hAnsi="Times New Roman"/>
          <w:b w:val="false"/>
          <w:bCs w:val="false"/>
          <w:sz w:val="24"/>
          <w:szCs w:val="24"/>
        </w:rPr>
        <w:t xml:space="preserve">6.4  Summary</w:t>
      </w:r>
      <w:r>
        <w:rPr>
          <w:rFonts w:ascii="Times New Roman" w:cs="Times New Roman" w:eastAsia="Times New Roman" w:hAnsi="Times New Roman"/>
          <w:b w:val="false"/>
          <w:bCs w:val="false"/>
          <w:sz w:val="24"/>
          <w:szCs w:val="24"/>
        </w:rPr>
        <w:t xml:space="preserve">	50</w:t>
      </w:r>
    </w:p>
    <w:p>
      <w:pPr>
        <w:tabs>
          <w:tab w:val="right" w:pos="9000" w:leader="dot"/>
        </w:tabs>
        <w:spacing w:after="60" w:line="28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51</w:t>
      </w:r>
    </w:p>
    <w:p>
      <w:pPr>
        <w:tabs>
          <w:tab w:val="right" w:pos="9000" w:leader="dot"/>
        </w:tabs>
        <w:spacing w:after="60" w:line="280"/>
        <w:ind w:left="0"/>
      </w:pPr>
      <w:r>
        <w:rPr>
          <w:rFonts w:ascii="Times New Roman" w:cs="Times New Roman" w:eastAsia="Times New Roman" w:hAnsi="Times New Roman"/>
          <w:b/>
          <w:bCs/>
          <w:sz w:val="24"/>
          <w:szCs w:val="24"/>
        </w:rPr>
        <w:t xml:space="preserve">Appendix A — Source Code</w:t>
      </w:r>
      <w:r>
        <w:rPr>
          <w:rFonts w:ascii="Times New Roman" w:cs="Times New Roman" w:eastAsia="Times New Roman" w:hAnsi="Times New Roman"/>
          <w:b/>
          <w:bCs/>
          <w:sz w:val="24"/>
          <w:szCs w:val="24"/>
        </w:rPr>
        <w:t xml:space="preserve">	54</w:t>
      </w:r>
    </w:p>
    <w:p>
      <w:pPr>
        <w:tabs>
          <w:tab w:val="right" w:pos="9000" w:leader="dot"/>
        </w:tabs>
        <w:spacing w:after="60" w:line="280"/>
        <w:ind w:left="0"/>
      </w:pPr>
      <w:r>
        <w:rPr>
          <w:rFonts w:ascii="Times New Roman" w:cs="Times New Roman" w:eastAsia="Times New Roman" w:hAnsi="Times New Roman"/>
          <w:b/>
          <w:bCs/>
          <w:sz w:val="24"/>
          <w:szCs w:val="24"/>
        </w:rPr>
        <w:t xml:space="preserve">Appendix B — Sample API Payloads</w:t>
      </w:r>
      <w:r>
        <w:rPr>
          <w:rFonts w:ascii="Times New Roman" w:cs="Times New Roman" w:eastAsia="Times New Roman" w:hAnsi="Times New Roman"/>
          <w:b/>
          <w:bCs/>
          <w:sz w:val="24"/>
          <w:szCs w:val="24"/>
        </w:rPr>
        <w:t xml:space="preserve">	56</w:t>
      </w:r>
    </w:p>
    <w:p>
      <w:pPr>
        <w:tabs>
          <w:tab w:val="right" w:pos="9000" w:leader="dot"/>
        </w:tabs>
        <w:spacing w:after="60" w:line="280"/>
        <w:ind w:left="0"/>
      </w:pPr>
      <w:r>
        <w:rPr>
          <w:rFonts w:ascii="Times New Roman" w:cs="Times New Roman" w:eastAsia="Times New Roman" w:hAnsi="Times New Roman"/>
          <w:b/>
          <w:bCs/>
          <w:sz w:val="24"/>
          <w:szCs w:val="24"/>
        </w:rPr>
        <w:t xml:space="preserve">Appendix C — Component List</w:t>
      </w:r>
      <w:r>
        <w:rPr>
          <w:rFonts w:ascii="Times New Roman" w:cs="Times New Roman" w:eastAsia="Times New Roman" w:hAnsi="Times New Roman"/>
          <w:b/>
          <w:bCs/>
          <w:sz w:val="24"/>
          <w:szCs w:val="24"/>
        </w:rPr>
        <w:t xml:space="preserve">	57</w:t>
      </w:r>
    </w:p>
    <w:p>
      <w:pPr>
        <w:tabs>
          <w:tab w:val="right" w:pos="9000" w:leader="dot"/>
        </w:tabs>
        <w:spacing w:after="60" w:line="280"/>
        <w:ind w:left="0"/>
      </w:pPr>
      <w:r>
        <w:rPr>
          <w:rFonts w:ascii="Times New Roman" w:cs="Times New Roman" w:eastAsia="Times New Roman" w:hAnsi="Times New Roman"/>
          <w:b/>
          <w:bCs/>
          <w:sz w:val="24"/>
          <w:szCs w:val="24"/>
        </w:rPr>
        <w:t xml:space="preserve">Appendix D — List of Papers Presented and Published</w:t>
      </w:r>
      <w:r>
        <w:rPr>
          <w:rFonts w:ascii="Times New Roman" w:cs="Times New Roman" w:eastAsia="Times New Roman" w:hAnsi="Times New Roman"/>
          <w:b/>
          <w:bCs/>
          <w:sz w:val="24"/>
          <w:szCs w:val="24"/>
        </w:rPr>
        <w:t xml:space="preserve">	59</w:t>
      </w:r>
    </w:p>
    <w:p>
      <w:pPr>
        <w:pageBreakBefore/>
        <w:spacing w:after="360" w:before="1000"/>
        <w:jc w:val="center"/>
      </w:pPr>
      <w:r>
        <w:rPr>
          <w:rFonts w:ascii="Times New Roman" w:cs="Times New Roman" w:eastAsia="Times New Roman" w:hAnsi="Times New Roman"/>
          <w:b/>
          <w:bCs/>
          <w:sz w:val="32"/>
          <w:szCs w:val="32"/>
        </w:rPr>
        <w:t xml:space="preserve">List of Figures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tblGrid>
      <w:tr>
        <w:tc>
          <w:tcPr>
            <w:tcW w:type="dxa" w:w="1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Fig. No.</w:t>
            </w:r>
          </w:p>
        </w:tc>
        <w:tc>
          <w:tcPr>
            <w:tcW w:type="dxa" w:w="54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Name of the Figure</w:t>
            </w:r>
          </w:p>
        </w:tc>
        <w:tc>
          <w:tcPr>
            <w:tcW w:type="dxa" w:w="1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3.1</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Hedgyyyboo three-tier block diagram</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3.2</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Data-flow architecture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22</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3.3</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GARCH(1,1) conditional volatility forecast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3.4</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Use-case diagram</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29</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3.5</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Gantt chart — project development timeline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30</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4.1</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PCA scree plot of U.S. Treasury yield changes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32</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4.2</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PC1–PC3 eigenvector loadings vs tenor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33</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4.3</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OU strategy cumulative return vs carry benchmark</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35</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4.4</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End-to-end morning-brief LLM latency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37</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4.5</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Main dashboard screenshot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38</w:t>
            </w:r>
          </w:p>
        </w:tc>
      </w:tr>
    </w:tbl>
    <w:p>
      <w:pPr>
        <w:pageBreakBefore/>
        <w:spacing w:after="360" w:before="1000"/>
        <w:jc w:val="center"/>
      </w:pPr>
      <w:r>
        <w:rPr>
          <w:rFonts w:ascii="Times New Roman" w:cs="Times New Roman" w:eastAsia="Times New Roman" w:hAnsi="Times New Roman"/>
          <w:b/>
          <w:bCs/>
          <w:sz w:val="32"/>
          <w:szCs w:val="32"/>
        </w:rPr>
        <w:t xml:space="preserve">List of Tables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tblGrid>
      <w:tr>
        <w:tc>
          <w:tcPr>
            <w:tcW w:type="dxa" w:w="1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Table No.</w:t>
            </w:r>
          </w:p>
        </w:tc>
        <w:tc>
          <w:tcPr>
            <w:tcW w:type="dxa" w:w="54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Name of the Table</w:t>
            </w:r>
          </w:p>
        </w:tc>
        <w:tc>
          <w:tcPr>
            <w:tcW w:type="dxa" w:w="1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4.1</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OU MLE parameters on top-5 G10 crosses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34</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C.1</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Component and library inventory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57</w:t>
            </w:r>
          </w:p>
        </w:tc>
      </w:tr>
    </w:tbl>
    <w:p>
      <w:pPr>
        <w:pageBreakBefore/>
        <w:spacing w:after="360" w:before="1000"/>
        <w:jc w:val="center"/>
      </w:pPr>
      <w:r>
        <w:rPr>
          <w:rFonts w:ascii="Times New Roman" w:cs="Times New Roman" w:eastAsia="Times New Roman" w:hAnsi="Times New Roman"/>
          <w:b/>
          <w:bCs/>
          <w:sz w:val="32"/>
          <w:szCs w:val="32"/>
        </w:rPr>
        <w:t xml:space="preserve">Abbreviations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400"/>
      </w:tblGrid>
      <w:tr>
        <w:tc>
          <w:tcPr>
            <w:tcW w:type="dxa" w:w="10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Sr. No.</w:t>
            </w:r>
          </w:p>
        </w:tc>
        <w:tc>
          <w:tcPr>
            <w:tcW w:type="dxa" w:w="2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Abbreviation</w:t>
            </w:r>
          </w:p>
        </w:tc>
        <w:tc>
          <w:tcPr>
            <w:tcW w:type="dxa" w:w="54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Expansion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API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Application Programming Interface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AR</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Autoregressive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BIS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Bank for International Settlements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CFTC</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Commodity Futures Trading Commission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COT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Commitments of Traders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EDGAR</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Electronic Data Gathering, Analysis, and Retrieval</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Expected Shortfall</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FX</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Foreign Exchange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GARCH</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Generalised Autoregressive Conditional Heteroskedasticity</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GDELT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Global Database of Events, Language, and Tone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HTTP</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Hypertext Transfer Protocol</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IEEE</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Institute of Electrical and Electronics Engineers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JSON</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JavaScript Object Notation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LLM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Large Language Model</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MLE</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Maximum Likelihood Estimation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OU</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Ornstein–Uhlenbeck</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PCA</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Principal Component Analysis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PDE</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Partial Differential Equation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Portfolio Manager</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RAG</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Retrieval-Augmented Generation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REER</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Real Effective Exchange Rate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REST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Representational State Transfer</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RPM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Requests per Minute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RSI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Relative Strength Index</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RSS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Really Simple Syndication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SDE</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Stochastic Differential Equation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27</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SEC</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Securities and Exchange Commission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SQL</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Structured Query Language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29</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UST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United States Treasury</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VaR</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Value-at-Risk</w:t>
            </w:r>
          </w:p>
        </w:tc>
      </w:tr>
    </w:tbl>
    <w:p>
      <w:pPr>
        <w:sectPr>
          <w:headerReference w:type="default" r:id="rId7"/>
          <w:footerReference w:type="default" r:id="rId8"/>
          <w:pgSz w:w="12240" w:h="15840" w:orient="portrait"/>
          <w:pgMar w:top="1440" w:right="1440" w:bottom="1440" w:left="2160" w:header="720" w:footer="720" w:gutter="0"/>
          <w:pgNumType w:start="2" w:fmt="lowerRoman"/>
          <w:docGrid w:linePitch="360"/>
        </w:sectPr>
      </w:pPr>
    </w:p>
    <w:p>
      <w:pPr>
        <w:pageBreakBefore/>
        <w:spacing w:after="240" w:before="1200"/>
        <w:jc w:val="center"/>
      </w:pPr>
      <w:r>
        <w:rPr>
          <w:rFonts w:ascii="Times New Roman" w:cs="Times New Roman" w:eastAsia="Times New Roman" w:hAnsi="Times New Roman"/>
          <w:b/>
          <w:bCs/>
          <w:sz w:val="36"/>
          <w:szCs w:val="36"/>
        </w:rPr>
        <w:t xml:space="preserve">Chapter 1</w:t>
      </w:r>
    </w:p>
    <w:p>
      <w:pPr>
        <w:spacing w:after="480" w:before="120" w:line="360"/>
        <w:jc w:val="center"/>
      </w:pPr>
      <w:r>
        <w:rPr>
          <w:rFonts w:ascii="Times New Roman" w:cs="Times New Roman" w:eastAsia="Times New Roman" w:hAnsi="Times New Roman"/>
          <w:b/>
          <w:bCs/>
          <w:sz w:val="36"/>
          <w:szCs w:val="36"/>
        </w:rPr>
        <w:t xml:space="preserve">Introduction</w:t>
      </w:r>
    </w:p>
    <w:p>
      <w:pPr>
        <w:spacing w:after="120" w:before="0" w:line="360"/>
        <w:ind w:firstLine="360"/>
        <w:jc w:val="both"/>
      </w:pPr>
      <w:r>
        <w:rPr>
          <w:rFonts w:ascii="Times New Roman" w:cs="Times New Roman" w:eastAsia="Times New Roman" w:hAnsi="Times New Roman"/>
          <w:sz w:val="24"/>
          <w:szCs w:val="24"/>
        </w:rPr>
        <w:t xml:space="preserve">This chapter introduces the Hedgyyyboo capstone project, motivates the need for an open, reproducible multi-asset analytics platform, states the problem tackled, lists the salient contributions, and sets out the organisation of the remaining chapters.</w:t>
      </w:r>
    </w:p>
    <w:p>
      <w:pPr>
        <w:spacing w:after="160" w:before="300" w:line="360"/>
        <w:jc w:val="left"/>
      </w:pPr>
      <w:r>
        <w:rPr>
          <w:rFonts w:ascii="Times New Roman" w:cs="Times New Roman" w:eastAsia="Times New Roman" w:hAnsi="Times New Roman"/>
          <w:b/>
          <w:bCs/>
          <w:sz w:val="28"/>
          <w:szCs w:val="28"/>
        </w:rPr>
        <w:t xml:space="preserve">1.1  Background of the Project Topic</w:t>
      </w:r>
    </w:p>
    <w:p>
      <w:pPr>
        <w:spacing w:after="120" w:before="0" w:line="360"/>
        <w:ind w:firstLine="360"/>
        <w:jc w:val="both"/>
      </w:pPr>
      <w:r>
        <w:rPr>
          <w:rFonts w:ascii="Times New Roman" w:cs="Times New Roman" w:eastAsia="Times New Roman" w:hAnsi="Times New Roman"/>
          <w:sz w:val="24"/>
          <w:szCs w:val="24"/>
        </w:rPr>
        <w:t xml:space="preserve">The global financial services industry increasingly consumes three heterogeneous data modalities on every trading day. First, structured market tensors — live price ticks, realised volatility surfaces, implied-volatility cubes, and tenor-by-tenor zero-coupon yield curves — arrive over low-latency feeds. Second, unstructured content — news wires, earnings transcripts, and regulatory filings from the U.S. Securities and Exchange Commission (SEC EDGAR) — is published in natural language. Third, house-level quantitative research produces proprietary factor exposures, backtested strategy signals, and risk attributions that must be explained to portfolio managers (PMs) in plain English every morning.</w:t>
      </w:r>
    </w:p>
    <w:p>
      <w:pPr>
        <w:spacing w:after="120" w:before="0" w:line="360"/>
        <w:ind w:firstLine="360"/>
        <w:jc w:val="both"/>
      </w:pPr>
      <w:r>
        <w:rPr>
          <w:rFonts w:ascii="Times New Roman" w:cs="Times New Roman" w:eastAsia="Times New Roman" w:hAnsi="Times New Roman"/>
          <w:sz w:val="24"/>
          <w:szCs w:val="24"/>
        </w:rPr>
        <w:t xml:space="preserve">Historically, bridging these three modalities has required a team of quantitative researchers, systematic strategists, and sell-side sales-traders. The dominant turnkey platform — Bloomberg Terminal — charges upwards of twenty-four thousand US dollars per seat per year, placing institutional-grade analytics beyond the reach of independent quants, student researchers, and small hedge funds. The 2022–2025 emergence of instruction-tuned Large Language Models (LLMs) — notably BloombergGPT, FinGPT, and the open-weight Gemma family from Google DeepMind — has opened the door to low-cost narrative generation, but significant engineering gaps remain: numerical grounding, rate-limit management, and the seamless fusion of classical stochastic models with modern neural inference.</w:t>
      </w:r>
    </w:p>
    <w:p>
      <w:pPr>
        <w:spacing w:after="120" w:before="0" w:line="360"/>
        <w:ind w:firstLine="360"/>
        <w:jc w:val="both"/>
      </w:pPr>
      <w:r>
        <w:rPr>
          <w:rFonts w:ascii="Times New Roman" w:cs="Times New Roman" w:eastAsia="Times New Roman" w:hAnsi="Times New Roman"/>
          <w:sz w:val="24"/>
          <w:szCs w:val="24"/>
        </w:rPr>
        <w:t xml:space="preserve">Hedgyyyboo was conceived against this backdrop. The project asks: can a single developer on a commodity laptop, using only open-source Python / TypeScript stacks and free-tier inference APIs, deliver a research-grade multi-asset desk whose output is both quantitatively sound and linguistically fluent?</w:t>
      </w:r>
    </w:p>
    <w:p>
      <w:pPr>
        <w:spacing w:after="160" w:before="300" w:line="360"/>
        <w:jc w:val="left"/>
      </w:pPr>
      <w:r>
        <w:rPr>
          <w:rFonts w:ascii="Times New Roman" w:cs="Times New Roman" w:eastAsia="Times New Roman" w:hAnsi="Times New Roman"/>
          <w:b/>
          <w:bCs/>
          <w:sz w:val="28"/>
          <w:szCs w:val="28"/>
        </w:rPr>
        <w:t xml:space="preserve">1.2  Motivation and Scope of the Report</w:t>
      </w:r>
    </w:p>
    <w:p>
      <w:pPr>
        <w:spacing w:after="120" w:before="0" w:line="360"/>
        <w:ind w:firstLine="360"/>
        <w:jc w:val="both"/>
      </w:pPr>
      <w:r>
        <w:rPr>
          <w:rFonts w:ascii="Times New Roman" w:cs="Times New Roman" w:eastAsia="Times New Roman" w:hAnsi="Times New Roman"/>
          <w:sz w:val="24"/>
          <w:szCs w:val="24"/>
        </w:rPr>
        <w:t xml:space="preserve">The motivation behind Hedgyyyboo is both academic and practical.</w:t>
      </w:r>
    </w:p>
    <w:p>
      <w:pPr>
        <w:spacing w:after="120" w:before="0" w:line="360"/>
        <w:ind w:firstLine="360"/>
        <w:jc w:val="both"/>
      </w:pPr>
      <w:r>
        <w:rPr>
          <w:rFonts w:ascii="Times New Roman" w:cs="Times New Roman" w:eastAsia="Times New Roman" w:hAnsi="Times New Roman"/>
          <w:sz w:val="24"/>
          <w:szCs w:val="24"/>
        </w:rPr>
        <w:t xml:space="preserve">Academically, the project consolidates the knowledge base acquired across earlier courses in probability theory, numerical methods, financial engineering, web development, and artificial intelligence. It offers a single, end-to-end artefact in which each subject's learning outcome is exercised: probability → Ornstein–Uhlenbeck maximum-likelihood estimation; linear algebra → Principal Component Analysis of the yield covariance; stochastic calculus → Itô–Doeblin differentiation of the Hull–White bond price; software engineering → FastAPI REST design; front-end engineering → React composition and state management; deep learning → Neural Stochastic Differential Equations; and natural-language processing → retrieval-augmented prompt construction.</w:t>
      </w:r>
    </w:p>
    <w:p>
      <w:pPr>
        <w:spacing w:after="120" w:before="0" w:line="360"/>
        <w:ind w:firstLine="360"/>
        <w:jc w:val="both"/>
      </w:pPr>
      <w:r>
        <w:rPr>
          <w:rFonts w:ascii="Times New Roman" w:cs="Times New Roman" w:eastAsia="Times New Roman" w:hAnsi="Times New Roman"/>
          <w:sz w:val="24"/>
          <w:szCs w:val="24"/>
        </w:rPr>
        <w:t xml:space="preserve">Practically, the motivation is to democratise institutional tooling. By coupling free public data (U.S. Treasury Daily Yield Curve, Yahoo Finance, Google News RSS, CFTC Commitments-of-Traders, BIS REER, GDELT) with a free-tier LLM inference backend, the platform removes all paywall-based barriers to entry. This matters for the next generation of students who will enter buy-side and sell-side roles without Bloomberg login credentials.</w:t>
      </w:r>
    </w:p>
    <w:p>
      <w:pPr>
        <w:spacing w:after="120" w:before="0" w:line="360"/>
        <w:ind w:firstLine="360"/>
        <w:jc w:val="both"/>
      </w:pPr>
      <w:r>
        <w:rPr>
          <w:rFonts w:ascii="Times New Roman" w:cs="Times New Roman" w:eastAsia="Times New Roman" w:hAnsi="Times New Roman"/>
          <w:sz w:val="24"/>
          <w:szCs w:val="24"/>
        </w:rPr>
        <w:t xml:space="preserve">The scope of this report covers the complete software lifecycle: literature review (Chapter 2), architectural design and mathematical formalism (Chapter 3), empirical results and back-tests (Chapter 4), application analysis including advantages, limitations and deployment scenarios (Chapter 5), and conclusions with future-work recommendations (Chapter 6). The source code and evaluation artefacts accompany the report in Appendices A–D.</w:t>
      </w:r>
    </w:p>
    <w:p>
      <w:pPr>
        <w:spacing w:after="160" w:before="300" w:line="360"/>
        <w:jc w:val="left"/>
      </w:pPr>
      <w:r>
        <w:rPr>
          <w:rFonts w:ascii="Times New Roman" w:cs="Times New Roman" w:eastAsia="Times New Roman" w:hAnsi="Times New Roman"/>
          <w:b/>
          <w:bCs/>
          <w:sz w:val="28"/>
          <w:szCs w:val="28"/>
        </w:rPr>
        <w:t xml:space="preserve">1.3  Problem Statement</w:t>
      </w:r>
    </w:p>
    <w:p>
      <w:pPr>
        <w:spacing w:after="120" w:before="0" w:line="360"/>
        <w:ind w:firstLine="360"/>
        <w:jc w:val="both"/>
      </w:pPr>
      <w:r>
        <w:rPr>
          <w:rFonts w:ascii="Times New Roman" w:cs="Times New Roman" w:eastAsia="Times New Roman" w:hAnsi="Times New Roman"/>
          <w:sz w:val="24"/>
          <w:szCs w:val="24"/>
        </w:rPr>
        <w:t xml:space="preserve">The literature gap, distilled from a survey of thirty-seven peer-reviewed references (see Chapter 2), reduces to the following compact statement:</w:t>
      </w:r>
    </w:p>
    <w:p>
      <w:pPr>
        <w:spacing w:after="120" w:before="0" w:line="360"/>
        <w:ind w:firstLine="360"/>
        <w:jc w:val="both"/>
      </w:pPr>
      <w:r>
        <w:rPr>
          <w:rFonts w:ascii="Times New Roman" w:cs="Times New Roman" w:eastAsia="Times New Roman" w:hAnsi="Times New Roman"/>
          <w:sz w:val="24"/>
          <w:szCs w:val="24"/>
        </w:rPr>
        <w:t xml:space="preserve">There is no publicly-available, open-source, multi-asset analytics framework that (a) integrates at least five classical stochastic-calculus pricing engines, (b) feeds their numerical outputs into a retrieval-augmented large-language-model pipeline, (c) observes free-tier inference rate limits while still producing human-readable narrative briefs, and (d) exposes the entire stack through a modern single-page web application that runs on commodity hardware.</w:t>
      </w:r>
    </w:p>
    <w:p>
      <w:pPr>
        <w:spacing w:after="120" w:before="0" w:line="360"/>
        <w:ind w:firstLine="360"/>
        <w:jc w:val="both"/>
      </w:pPr>
      <w:r>
        <w:rPr>
          <w:rFonts w:ascii="Times New Roman" w:cs="Times New Roman" w:eastAsia="Times New Roman" w:hAnsi="Times New Roman"/>
          <w:sz w:val="24"/>
          <w:szCs w:val="24"/>
        </w:rPr>
        <w:t xml:space="preserve">Sub-problems that flow from the primary statement include: designing a JSON contract between numerical modules and the RAG prompt builder; handling Google Gemma-3n's undocumented rejection of system-role messages; rate-limiting LLM calls across a user-driven web UI without throttling; and validating the statistical properties (VaR coverage, half-life accuracy, factor-variance share) of the output so the PM can trust the platform.</w:t>
      </w:r>
    </w:p>
    <w:p>
      <w:pPr>
        <w:spacing w:after="160" w:before="300" w:line="360"/>
        <w:jc w:val="left"/>
      </w:pPr>
      <w:r>
        <w:rPr>
          <w:rFonts w:ascii="Times New Roman" w:cs="Times New Roman" w:eastAsia="Times New Roman" w:hAnsi="Times New Roman"/>
          <w:b/>
          <w:bCs/>
          <w:sz w:val="28"/>
          <w:szCs w:val="28"/>
        </w:rPr>
        <w:t xml:space="preserve">1.4  Salient Contribution</w:t>
      </w:r>
    </w:p>
    <w:p>
      <w:pPr>
        <w:spacing w:after="120" w:before="0" w:line="360"/>
        <w:ind w:firstLine="360"/>
        <w:jc w:val="both"/>
      </w:pPr>
      <w:r>
        <w:rPr>
          <w:rFonts w:ascii="Times New Roman" w:cs="Times New Roman" w:eastAsia="Times New Roman" w:hAnsi="Times New Roman"/>
          <w:sz w:val="24"/>
          <w:szCs w:val="24"/>
        </w:rPr>
        <w:t xml:space="preserve">This project advances the state of the art along four measurable axes.</w:t>
      </w:r>
    </w:p>
    <w:p>
      <w:pPr>
        <w:spacing w:after="120" w:before="0" w:line="360"/>
        <w:ind w:firstLine="360"/>
        <w:jc w:val="both"/>
      </w:pPr>
      <w:r>
        <w:rPr>
          <w:rFonts w:ascii="Times New Roman" w:cs="Times New Roman" w:eastAsia="Times New Roman" w:hAnsi="Times New Roman"/>
          <w:sz w:val="24"/>
          <w:szCs w:val="24"/>
        </w:rPr>
        <w:t xml:space="preserve">C1. Reference architecture. A reproducible three-tier architecture (Ingestion → Numeric Core → LLM Core → Presentation) that couples seven classical stochastic models with a free-tier RAG layer. The architecture is described in Chapter 3.</w:t>
      </w:r>
    </w:p>
    <w:p>
      <w:pPr>
        <w:spacing w:after="120" w:before="0" w:line="360"/>
        <w:ind w:firstLine="360"/>
        <w:jc w:val="both"/>
      </w:pPr>
      <w:r>
        <w:rPr>
          <w:rFonts w:ascii="Times New Roman" w:cs="Times New Roman" w:eastAsia="Times New Roman" w:hAnsi="Times New Roman"/>
          <w:sz w:val="24"/>
          <w:szCs w:val="24"/>
        </w:rPr>
        <w:t xml:space="preserve">C2. Closed-form derivations and validated estimators. Seven canonical finance models (Ornstein–Uhlenbeck, Hurst R/S, GARCH(1,1), PCA, Hull–White, Heston, Neural-SDE) implemented from first principles in pure NumPy / SciPy without proprietary solvers, each accompanied by an independent validation harness.</w:t>
      </w:r>
    </w:p>
    <w:p>
      <w:pPr>
        <w:spacing w:after="120" w:before="0" w:line="360"/>
        <w:ind w:firstLine="360"/>
        <w:jc w:val="both"/>
      </w:pPr>
      <w:r>
        <w:rPr>
          <w:rFonts w:ascii="Times New Roman" w:cs="Times New Roman" w:eastAsia="Times New Roman" w:hAnsi="Times New Roman"/>
          <w:sz w:val="24"/>
          <w:szCs w:val="24"/>
        </w:rPr>
        <w:t xml:space="preserve">C3. Empirical evaluation. Two years of daily data benchmarking gives factor variance 98.7%, half-life error &lt; 1.4 days, GARCH Kupiec coverage 94%, and Sharpe ratio 1.38 on a minimal mean-reversion strategy.</w:t>
      </w:r>
    </w:p>
    <w:p>
      <w:pPr>
        <w:spacing w:after="120" w:before="0" w:line="360"/>
        <w:ind w:firstLine="360"/>
        <w:jc w:val="both"/>
      </w:pPr>
      <w:r>
        <w:rPr>
          <w:rFonts w:ascii="Times New Roman" w:cs="Times New Roman" w:eastAsia="Times New Roman" w:hAnsi="Times New Roman"/>
          <w:sz w:val="24"/>
          <w:szCs w:val="24"/>
        </w:rPr>
        <w:t xml:space="preserve">C4. Engineering lessons. Three non-obvious engineering findings: (a) Gemma-3n requires system-prompt merging into the user turn; (b) caching the morning brief server-side avoids rate-limit storms; (c) a strict "overflow-hidden" CSS containment pattern in grid cells eliminates canvas-overflow bugs in Recharts/D3 embeds.</w:t>
      </w:r>
    </w:p>
    <w:p>
      <w:pPr>
        <w:spacing w:after="160" w:before="300" w:line="360"/>
        <w:jc w:val="left"/>
      </w:pPr>
      <w:r>
        <w:rPr>
          <w:rFonts w:ascii="Times New Roman" w:cs="Times New Roman" w:eastAsia="Times New Roman" w:hAnsi="Times New Roman"/>
          <w:b/>
          <w:bCs/>
          <w:sz w:val="28"/>
          <w:szCs w:val="28"/>
        </w:rPr>
        <w:t xml:space="preserve">1.5  Organisation of the Report</w:t>
      </w:r>
    </w:p>
    <w:p>
      <w:pPr>
        <w:spacing w:after="120" w:before="0" w:line="360"/>
        <w:ind w:firstLine="360"/>
        <w:jc w:val="both"/>
      </w:pPr>
      <w:r>
        <w:rPr>
          <w:rFonts w:ascii="Times New Roman" w:cs="Times New Roman" w:eastAsia="Times New Roman" w:hAnsi="Times New Roman"/>
          <w:sz w:val="24"/>
          <w:szCs w:val="24"/>
        </w:rPr>
        <w:t xml:space="preserve">The remainder of the report is organised as follows.</w:t>
      </w:r>
    </w:p>
    <w:p>
      <w:pPr>
        <w:spacing w:after="120" w:before="0" w:line="360"/>
        <w:ind w:firstLine="360"/>
        <w:jc w:val="both"/>
      </w:pPr>
      <w:r>
        <w:rPr>
          <w:rFonts w:ascii="Times New Roman" w:cs="Times New Roman" w:eastAsia="Times New Roman" w:hAnsi="Times New Roman"/>
          <w:sz w:val="24"/>
          <w:szCs w:val="24"/>
        </w:rPr>
        <w:t xml:space="preserve">Chapter 2 (Literature Survey) conducts an exhaustive review of 37 peer-reviewed references across five thematic axes: stochastic models, factor models, volatility modelling, neural SDEs, and LLMs in finance. It ends by formalising the research gap that motivates Hedgyyyboo.</w:t>
      </w:r>
    </w:p>
    <w:p>
      <w:pPr>
        <w:spacing w:after="120" w:before="0" w:line="360"/>
        <w:ind w:firstLine="360"/>
        <w:jc w:val="both"/>
      </w:pPr>
      <w:r>
        <w:rPr>
          <w:rFonts w:ascii="Times New Roman" w:cs="Times New Roman" w:eastAsia="Times New Roman" w:hAnsi="Times New Roman"/>
          <w:sz w:val="24"/>
          <w:szCs w:val="24"/>
        </w:rPr>
        <w:t xml:space="preserve">Chapter 3 (Methodology and Implementation) presents the architectural block diagram, hardware/software specifications, and a model-by-model description of every numerical engine, each supplemented with its defining differential equation or optimisation objective.</w:t>
      </w:r>
    </w:p>
    <w:p>
      <w:pPr>
        <w:spacing w:after="120" w:before="0" w:line="360"/>
        <w:ind w:firstLine="360"/>
        <w:jc w:val="both"/>
      </w:pPr>
      <w:r>
        <w:rPr>
          <w:rFonts w:ascii="Times New Roman" w:cs="Times New Roman" w:eastAsia="Times New Roman" w:hAnsi="Times New Roman"/>
          <w:sz w:val="24"/>
          <w:szCs w:val="24"/>
        </w:rPr>
        <w:t xml:space="preserve">Chapter 4 (Results and Analysis) reports empirical findings: PCA scree decomposition, OU half-life diagnostics, GARCH back-tests, Hull–White calibration RMSE, and LLM latency distributions.</w:t>
      </w:r>
    </w:p>
    <w:p>
      <w:pPr>
        <w:spacing w:after="120" w:before="0" w:line="360"/>
        <w:ind w:firstLine="360"/>
        <w:jc w:val="both"/>
      </w:pPr>
      <w:r>
        <w:rPr>
          <w:rFonts w:ascii="Times New Roman" w:cs="Times New Roman" w:eastAsia="Times New Roman" w:hAnsi="Times New Roman"/>
          <w:sz w:val="24"/>
          <w:szCs w:val="24"/>
        </w:rPr>
        <w:t xml:space="preserve">Chapter 5 (Advantages, Limitations and Applications) discusses where Hedgyyyboo excels, where it falls short, and a catalogue of applied deployment scenarios spanning pedagogy, risk management, and retail trading.</w:t>
      </w:r>
    </w:p>
    <w:p>
      <w:pPr>
        <w:spacing w:after="120" w:before="0" w:line="360"/>
        <w:ind w:firstLine="360"/>
        <w:jc w:val="both"/>
      </w:pPr>
      <w:r>
        <w:rPr>
          <w:rFonts w:ascii="Times New Roman" w:cs="Times New Roman" w:eastAsia="Times New Roman" w:hAnsi="Times New Roman"/>
          <w:sz w:val="24"/>
          <w:szCs w:val="24"/>
        </w:rPr>
        <w:t xml:space="preserve">Chapter 6 (Conclusion and Future Scope) summarises the work, distills actionable lessons, and proposes concrete future-work items including a Cheyette two-factor rates model, walk-forward backtesting, and LLM-as-judge factual grounding.</w:t>
      </w:r>
    </w:p>
    <w:p>
      <w:pPr>
        <w:spacing w:after="120" w:before="0" w:line="360"/>
        <w:ind w:firstLine="360"/>
        <w:jc w:val="both"/>
      </w:pPr>
      <w:r>
        <w:rPr>
          <w:rFonts w:ascii="Times New Roman" w:cs="Times New Roman" w:eastAsia="Times New Roman" w:hAnsi="Times New Roman"/>
          <w:sz w:val="24"/>
          <w:szCs w:val="24"/>
        </w:rPr>
        <w:t xml:space="preserve">References, Appendices (A: Source-code excerpts and flowcharts, B: Sample API payloads, C: Hardware/software component list, D: Publication list) close the report.</w:t>
      </w:r>
    </w:p>
    <w:p>
      <w:pPr>
        <w:spacing w:after="160" w:before="300" w:line="360"/>
        <w:jc w:val="left"/>
      </w:pPr>
      <w:r>
        <w:rPr>
          <w:rFonts w:ascii="Times New Roman" w:cs="Times New Roman" w:eastAsia="Times New Roman" w:hAnsi="Times New Roman"/>
          <w:b/>
          <w:bCs/>
          <w:sz w:val="28"/>
          <w:szCs w:val="28"/>
        </w:rPr>
        <w:t xml:space="preserve">1.6  Summary</w:t>
      </w:r>
    </w:p>
    <w:p>
      <w:pPr>
        <w:spacing w:after="120" w:before="0" w:line="360"/>
        <w:ind w:firstLine="360"/>
        <w:jc w:val="both"/>
      </w:pPr>
      <w:r>
        <w:rPr>
          <w:rFonts w:ascii="Times New Roman" w:cs="Times New Roman" w:eastAsia="Times New Roman" w:hAnsi="Times New Roman"/>
          <w:sz w:val="24"/>
          <w:szCs w:val="24"/>
        </w:rPr>
        <w:t xml:space="preserve">In summary, this chapter established that Hedgyyyboo tackles an open problem at the intersection of stochastic calculus, factor modelling, and retrieval-augmented generation, delivering a reproducible reference implementation on commodity hardware with four measurable contributions.</w:t>
      </w:r>
    </w:p>
    <w:p>
      <w:pPr>
        <w:pageBreakBefore/>
        <w:spacing w:after="240" w:before="1200"/>
        <w:jc w:val="center"/>
      </w:pPr>
      <w:r>
        <w:rPr>
          <w:rFonts w:ascii="Times New Roman" w:cs="Times New Roman" w:eastAsia="Times New Roman" w:hAnsi="Times New Roman"/>
          <w:b/>
          <w:bCs/>
          <w:sz w:val="36"/>
          <w:szCs w:val="36"/>
        </w:rPr>
        <w:t xml:space="preserve">Chapter 2</w:t>
      </w:r>
    </w:p>
    <w:p>
      <w:pPr>
        <w:spacing w:after="480" w:before="120" w:line="360"/>
        <w:jc w:val="center"/>
      </w:pPr>
      <w:r>
        <w:rPr>
          <w:rFonts w:ascii="Times New Roman" w:cs="Times New Roman" w:eastAsia="Times New Roman" w:hAnsi="Times New Roman"/>
          <w:b/>
          <w:bCs/>
          <w:sz w:val="36"/>
          <w:szCs w:val="36"/>
        </w:rPr>
        <w:t xml:space="preserve">Literature Survey</w:t>
      </w:r>
    </w:p>
    <w:p>
      <w:pPr>
        <w:spacing w:after="120" w:before="0" w:line="360"/>
        <w:ind w:firstLine="360"/>
        <w:jc w:val="both"/>
      </w:pPr>
      <w:r>
        <w:rPr>
          <w:rFonts w:ascii="Times New Roman" w:cs="Times New Roman" w:eastAsia="Times New Roman" w:hAnsi="Times New Roman"/>
          <w:sz w:val="24"/>
          <w:szCs w:val="24"/>
        </w:rPr>
        <w:t xml:space="preserve">This chapter conducts an exhaustive literature survey of thirty-seven peer-reviewed references. Section 2.1 sets out the broad academic context. Section 2.2 discusses stochastic-calculus pricing models. Section 2.3 reviews yield-curve factor models. Section 2.4 covers volatility and tail-risk models. Section 2.5 surveys neural stochastic differential equations. Section 2.6 examines large-language-model applications in finance and retrieval-augmented generation. The chapter concludes by distilling the research gap that motivates the Hedgyyyboo platform.</w:t>
      </w:r>
    </w:p>
    <w:p>
      <w:pPr>
        <w:spacing w:after="160" w:before="300" w:line="360"/>
        <w:jc w:val="left"/>
      </w:pPr>
      <w:r>
        <w:rPr>
          <w:rFonts w:ascii="Times New Roman" w:cs="Times New Roman" w:eastAsia="Times New Roman" w:hAnsi="Times New Roman"/>
          <w:b/>
          <w:bCs/>
          <w:sz w:val="28"/>
          <w:szCs w:val="28"/>
        </w:rPr>
        <w:t xml:space="preserve">2.1  Introduction to the Overall Topic</w:t>
      </w:r>
    </w:p>
    <w:p>
      <w:pPr>
        <w:spacing w:after="120" w:before="0" w:line="360"/>
        <w:ind w:firstLine="360"/>
        <w:jc w:val="both"/>
      </w:pPr>
      <w:r>
        <w:rPr>
          <w:rFonts w:ascii="Times New Roman" w:cs="Times New Roman" w:eastAsia="Times New Roman" w:hAnsi="Times New Roman"/>
          <w:sz w:val="24"/>
          <w:szCs w:val="24"/>
        </w:rPr>
        <w:t xml:space="preserve">Quantitative finance, as a discipline, traces its modern origin to the Black–Scholes–Merton option-pricing formula [1] of 1973, a closed-form solution to a parabolic partial differential equation that emerged from Itô's stochastic calculus. Since then, the field has bifurcated repeatedly. Risk-neutral pricing introduced the martingale measure. Heston [2] coupled the underlying diffusion with a mean-reverting variance process. Hull and White [3] extended Vasicek [4] from constant to deterministic mean-reversion level for rates modelling. Along a parallel axis, Engle [15] and Bollerslev [16] introduced conditionally-heteroskedastic time-series models that today underpin virtually every risk-management VaR / Expected-Shortfall engine.</w:t>
      </w:r>
    </w:p>
    <w:p>
      <w:pPr>
        <w:spacing w:after="120" w:before="0" w:line="360"/>
        <w:ind w:firstLine="360"/>
        <w:jc w:val="both"/>
      </w:pPr>
      <w:r>
        <w:rPr>
          <w:rFonts w:ascii="Times New Roman" w:cs="Times New Roman" w:eastAsia="Times New Roman" w:hAnsi="Times New Roman"/>
          <w:sz w:val="24"/>
          <w:szCs w:val="24"/>
        </w:rPr>
        <w:t xml:space="preserve">Concurrently, the empirical literature established that high-dimensional term-structure dynamics are low-rank. Litterman and Scheinkman [11] demonstrated that three principal components explain ninety-eight per cent of U.S. Treasury return variance — a finding replicated across every sovereign curve and now a staple of fixed-income desks. Mandelbrot and van Ness [19] and Hurst [20] quantified long-range dependence through the Hurst exponent, widely used in statistical arbitrage.</w:t>
      </w:r>
    </w:p>
    <w:p>
      <w:pPr>
        <w:spacing w:after="120" w:before="0" w:line="360"/>
        <w:ind w:firstLine="360"/>
        <w:jc w:val="both"/>
      </w:pPr>
      <w:r>
        <w:rPr>
          <w:rFonts w:ascii="Times New Roman" w:cs="Times New Roman" w:eastAsia="Times New Roman" w:hAnsi="Times New Roman"/>
          <w:sz w:val="24"/>
          <w:szCs w:val="24"/>
        </w:rPr>
        <w:t xml:space="preserve">The 2010s brought deep learning to finance. Neural Ordinary Differential Equations of Chen et al. [22] and Neural Stochastic Differential Equations of Kidger et al. [21] offer continuous-time generative models that can be fit to financial time-series with gradient-based optimisation. The 2022–2025 period then added a natural-language reasoning layer: BloombergGPT [28], FinGPT [27], and FinBERT [26] demonstrated that domain-specific transformer encoders and decoders can materially outperform general-purpose models on FiQA sentiment and financial QA benchmarks.</w:t>
      </w:r>
    </w:p>
    <w:p>
      <w:pPr>
        <w:spacing w:after="120" w:before="0" w:line="360"/>
        <w:ind w:firstLine="360"/>
        <w:jc w:val="both"/>
      </w:pPr>
      <w:r>
        <w:rPr>
          <w:rFonts w:ascii="Times New Roman" w:cs="Times New Roman" w:eastAsia="Times New Roman" w:hAnsi="Times New Roman"/>
          <w:sz w:val="24"/>
          <w:szCs w:val="24"/>
        </w:rPr>
        <w:t xml:space="preserve">Retrieval-Augmented Generation, formalised by Lewis et al. [24] and surveyed by Gao et al. [25], complements LLMs by grounding their outputs in an external corpus. Recent work applies RAG to static document bases but seldom to live numeric feeds — which is precisely the gap Hedgyyyboo fills.</w:t>
      </w:r>
    </w:p>
    <w:p>
      <w:pPr>
        <w:spacing w:after="120" w:before="0" w:line="360"/>
        <w:ind w:firstLine="360"/>
        <w:jc w:val="both"/>
      </w:pPr>
      <w:r>
        <w:rPr>
          <w:rFonts w:ascii="Times New Roman" w:cs="Times New Roman" w:eastAsia="Times New Roman" w:hAnsi="Times New Roman"/>
          <w:sz w:val="24"/>
          <w:szCs w:val="24"/>
        </w:rPr>
        <w:t xml:space="preserve">The literature surveyed in the remainder of this chapter comprises a mix of seminal papers (Black–Scholes 1973, Heston 1993, Engle 1982), recent state-of-the-art (Kidger 2021, Lewis 2020, Yang 2023), and engineering references (OpenRouter documentation, Gemma 3 technical report). A total of thirty-seven references were consulted and cited in this report.</w:t>
      </w:r>
    </w:p>
    <w:p>
      <w:pPr>
        <w:spacing w:after="160" w:before="300" w:line="360"/>
        <w:jc w:val="left"/>
      </w:pPr>
      <w:r>
        <w:rPr>
          <w:rFonts w:ascii="Times New Roman" w:cs="Times New Roman" w:eastAsia="Times New Roman" w:hAnsi="Times New Roman"/>
          <w:b/>
          <w:bCs/>
          <w:sz w:val="28"/>
          <w:szCs w:val="28"/>
        </w:rPr>
        <w:t xml:space="preserve">2.2  Stochastic Calculus Pricing Models</w:t>
      </w:r>
    </w:p>
    <w:p>
      <w:pPr>
        <w:spacing w:after="120" w:before="0" w:line="360"/>
        <w:ind w:firstLine="360"/>
        <w:jc w:val="both"/>
      </w:pPr>
      <w:r>
        <w:rPr>
          <w:rFonts w:ascii="Times New Roman" w:cs="Times New Roman" w:eastAsia="Times New Roman" w:hAnsi="Times New Roman"/>
          <w:sz w:val="24"/>
          <w:szCs w:val="24"/>
        </w:rPr>
        <w:t xml:space="preserve">The Black–Scholes equation [1] describes the fair price of a European option on a geometric-Brownian-motion underlying. Its closed-form solution is expressed in terms of the standard-normal cumulative distribution function. Practically, however, the constant-volatility assumption fails: market-implied volatilities exhibit both smile (moneyness) and term-structure skew. Heston [2] resolved this by introducing a correlated Cox–Ingersoll–Ross variance process, yielding semi-closed-form prices via the characteristic function. Gatheral [8] documents calibration practice and presents numerical pitfalls in the characteristic-function inverse Fourier transform.</w:t>
      </w:r>
    </w:p>
    <w:p>
      <w:pPr>
        <w:spacing w:after="120" w:before="0" w:line="360"/>
        <w:ind w:firstLine="360"/>
        <w:jc w:val="both"/>
      </w:pPr>
      <w:r>
        <w:rPr>
          <w:rFonts w:ascii="Times New Roman" w:cs="Times New Roman" w:eastAsia="Times New Roman" w:hAnsi="Times New Roman"/>
          <w:sz w:val="24"/>
          <w:szCs w:val="24"/>
        </w:rPr>
        <w:t xml:space="preserve">For interest-rate derivatives, Vasicek [4] introduced a Gaussian mean-reverting short-rate model. The drift is affine in the current rate, leading to an analytic bond price through the affine-term-structure framework. Hull and White [3] added a deterministic time-dependent drift θ(t) so that the model can exactly match the initial discount curve — a practical necessity for sell-side pricing of Bermudan swaptions. Jamshidian [9] showed that a European swaption under a one-factor affine model can be decomposed into a strip of zero-coupon-bond options, each priced in closed form. This result is used by the Hull–White swaption pricer in Hedgyyyboo.</w:t>
      </w:r>
    </w:p>
    <w:p>
      <w:pPr>
        <w:spacing w:after="120" w:before="0" w:line="360"/>
        <w:ind w:firstLine="360"/>
        <w:jc w:val="both"/>
      </w:pPr>
      <w:r>
        <w:rPr>
          <w:rFonts w:ascii="Times New Roman" w:cs="Times New Roman" w:eastAsia="Times New Roman" w:hAnsi="Times New Roman"/>
          <w:sz w:val="24"/>
          <w:szCs w:val="24"/>
        </w:rPr>
        <w:t xml:space="preserve">Mean-reverting stochastic processes are likewise central to statistical-arbitrage FX pairs trading. Vidyamurthy [6] provides a practitioner-oriented treatment; Aït-Sahalia [7] derives a closed-form approximation of the likelihood of a discretely-sampled Ornstein–Uhlenbeck diffusion [5], yielding a tractable maximum-likelihood estimator — the estimator implemented in the Hedgyyyboo FX desk.</w:t>
      </w:r>
    </w:p>
    <w:p>
      <w:pPr>
        <w:spacing w:after="120" w:before="0" w:line="360"/>
        <w:ind w:firstLine="360"/>
        <w:jc w:val="both"/>
      </w:pPr>
      <w:r>
        <w:rPr>
          <w:rFonts w:ascii="Times New Roman" w:cs="Times New Roman" w:eastAsia="Times New Roman" w:hAnsi="Times New Roman"/>
          <w:sz w:val="24"/>
          <w:szCs w:val="24"/>
        </w:rPr>
        <w:t xml:space="preserve">For Monte-Carlo pricing of path-dependent or multi-asset equity derivatives, Andersen [10] developed a quadratic-exponential scheme for the Heston model that is robust against violation of the Feller condition. This scheme is used in Hedgyyyboo's equity-option engine.</w:t>
      </w:r>
    </w:p>
    <w:p>
      <w:pPr>
        <w:spacing w:after="120" w:before="0" w:line="360"/>
        <w:ind w:firstLine="360"/>
        <w:jc w:val="both"/>
      </w:pPr>
      <w:r>
        <w:rPr>
          <w:rFonts w:ascii="Times New Roman" w:cs="Times New Roman" w:eastAsia="Times New Roman" w:hAnsi="Times New Roman"/>
          <w:sz w:val="24"/>
          <w:szCs w:val="24"/>
        </w:rPr>
        <w:t xml:space="preserve">Collectively, these works form the backbone of the numerical sub-core of Hedgyyyboo.</w:t>
      </w:r>
    </w:p>
    <w:p>
      <w:pPr>
        <w:spacing w:after="160" w:before="300" w:line="360"/>
        <w:jc w:val="left"/>
      </w:pPr>
      <w:r>
        <w:rPr>
          <w:rFonts w:ascii="Times New Roman" w:cs="Times New Roman" w:eastAsia="Times New Roman" w:hAnsi="Times New Roman"/>
          <w:b/>
          <w:bCs/>
          <w:sz w:val="28"/>
          <w:szCs w:val="28"/>
        </w:rPr>
        <w:t xml:space="preserve">2.3  Factor Models and Yield-Curve Dimensionality Reduction</w:t>
      </w:r>
    </w:p>
    <w:p>
      <w:pPr>
        <w:spacing w:after="120" w:before="0" w:line="360"/>
        <w:ind w:firstLine="360"/>
        <w:jc w:val="both"/>
      </w:pPr>
      <w:r>
        <w:rPr>
          <w:rFonts w:ascii="Times New Roman" w:cs="Times New Roman" w:eastAsia="Times New Roman" w:hAnsi="Times New Roman"/>
          <w:sz w:val="24"/>
          <w:szCs w:val="24"/>
        </w:rPr>
        <w:t xml:space="preserve">Litterman and Scheinkman [11] seminal paper showed that three PCA factors — subsequently labelled Level, Slope, and Curvature — explain approximately 98% of U.S. Treasury return variance. Their finding has since been replicated across every developed-market sovereign curve. The advantage of PCA over parametric alternatives is interpretability combined with parsimony.</w:t>
      </w:r>
    </w:p>
    <w:p>
      <w:pPr>
        <w:spacing w:after="120" w:before="0" w:line="360"/>
        <w:ind w:firstLine="360"/>
        <w:jc w:val="both"/>
      </w:pPr>
      <w:r>
        <w:rPr>
          <w:rFonts w:ascii="Times New Roman" w:cs="Times New Roman" w:eastAsia="Times New Roman" w:hAnsi="Times New Roman"/>
          <w:sz w:val="24"/>
          <w:szCs w:val="24"/>
        </w:rPr>
        <w:t xml:space="preserve">Nelson and Siegel [12] proposed a parametric three-factor curve with level, slope, and curvature loadings given by smooth exponential functions. Svensson [13] extended the model with a second hump term. Diebold and Li [14] showed that dynamic Nelson–Siegel with AR(1) factor dynamics out-of-sample forecasts term-structure movements. Parametric models are attractive for their smooth shape constraints but require non-convex optimisation at each fitting step, which is burdensome in a cron-driven daily workflow.</w:t>
      </w:r>
    </w:p>
    <w:p>
      <w:pPr>
        <w:spacing w:after="120" w:before="0" w:line="360"/>
        <w:ind w:firstLine="360"/>
        <w:jc w:val="both"/>
      </w:pPr>
      <w:r>
        <w:rPr>
          <w:rFonts w:ascii="Times New Roman" w:cs="Times New Roman" w:eastAsia="Times New Roman" w:hAnsi="Times New Roman"/>
          <w:sz w:val="24"/>
          <w:szCs w:val="24"/>
        </w:rPr>
        <w:t xml:space="preserve">Hedgyyyboo therefore prefers PCA for its speed (a single eigendecomposition at the 08:00 IST cron) and for the ease of feeding numerical scores z_t = φ_k^⊤ y_t into the LLM prompt. Parametric extensions are a natural direction for future work.</w:t>
      </w:r>
    </w:p>
    <w:p>
      <w:pPr>
        <w:spacing w:after="160" w:before="300" w:line="360"/>
        <w:jc w:val="left"/>
      </w:pPr>
      <w:r>
        <w:rPr>
          <w:rFonts w:ascii="Times New Roman" w:cs="Times New Roman" w:eastAsia="Times New Roman" w:hAnsi="Times New Roman"/>
          <w:b/>
          <w:bCs/>
          <w:sz w:val="28"/>
          <w:szCs w:val="28"/>
        </w:rPr>
        <w:t xml:space="preserve">2.4  Volatility and Tail-Risk Models</w:t>
      </w:r>
    </w:p>
    <w:p>
      <w:pPr>
        <w:spacing w:after="120" w:before="0" w:line="360"/>
        <w:ind w:firstLine="360"/>
        <w:jc w:val="both"/>
      </w:pPr>
      <w:r>
        <w:rPr>
          <w:rFonts w:ascii="Times New Roman" w:cs="Times New Roman" w:eastAsia="Times New Roman" w:hAnsi="Times New Roman"/>
          <w:sz w:val="24"/>
          <w:szCs w:val="24"/>
        </w:rPr>
        <w:t xml:space="preserve">Engle's ARCH(q) model [15] and its GARCH(p,q) generalisation by Bollerslev [16] parameterise conditional variance as a linear function of lagged squared innovations and lagged variances. The GARCH(1,1) specialisation is the default in industrial risk-management pipelines because of its parsimony (three parameters: ω, α, β) and its empirical persistence pattern that matches observed volatility clustering.</w:t>
      </w:r>
    </w:p>
    <w:p>
      <w:pPr>
        <w:spacing w:after="120" w:before="0" w:line="360"/>
        <w:ind w:firstLine="360"/>
        <w:jc w:val="both"/>
      </w:pPr>
      <w:r>
        <w:rPr>
          <w:rFonts w:ascii="Times New Roman" w:cs="Times New Roman" w:eastAsia="Times New Roman" w:hAnsi="Times New Roman"/>
          <w:sz w:val="24"/>
          <w:szCs w:val="24"/>
        </w:rPr>
        <w:t xml:space="preserve">Bollerslev [17] extended the error distribution from normal to Student-t to capture the fat tails evident in equity-return histograms. McNeil, Frey, and Embrechts [18] provide the canonical treatment of Value-at-Risk (VaR) and Expected-Shortfall (ES), including the closed-form parametric quantile transforms implemented in Hedgyyyboo.</w:t>
      </w:r>
    </w:p>
    <w:p>
      <w:pPr>
        <w:spacing w:after="120" w:before="0" w:line="360"/>
        <w:ind w:firstLine="360"/>
        <w:jc w:val="both"/>
      </w:pPr>
      <w:r>
        <w:rPr>
          <w:rFonts w:ascii="Times New Roman" w:cs="Times New Roman" w:eastAsia="Times New Roman" w:hAnsi="Times New Roman"/>
          <w:sz w:val="24"/>
          <w:szCs w:val="24"/>
        </w:rPr>
        <w:t xml:space="preserve">Mandelbrot and van Ness [19] introduced fractional Brownian motion and the Hurst exponent H, which measures long-range dependence. Hurst [20] earlier proposed the rescaled-range estimator for H. In financial time series, H &lt; 0.5 denotes anti-persistence (mean reversion), H = 0.5 a random walk, and H &gt; 0.5 momentum. The Hurst exponent is a key statistical-arbitrage diagnostic and is reported on every FX cross in the Hedgyyyboo FX desk.</w:t>
      </w:r>
    </w:p>
    <w:p>
      <w:pPr>
        <w:spacing w:after="120" w:before="0" w:line="360"/>
        <w:ind w:firstLine="360"/>
        <w:jc w:val="both"/>
      </w:pPr>
      <w:r>
        <w:rPr>
          <w:rFonts w:ascii="Times New Roman" w:cs="Times New Roman" w:eastAsia="Times New Roman" w:hAnsi="Times New Roman"/>
          <w:sz w:val="24"/>
          <w:szCs w:val="24"/>
        </w:rPr>
        <w:t xml:space="preserve">Kupiec [34] developed the unconditional-coverage likelihood-ratio test used in this report to validate the empirical coverage of the GARCH-based VaR estimates.</w:t>
      </w:r>
    </w:p>
    <w:p>
      <w:pPr>
        <w:spacing w:after="160" w:before="300" w:line="360"/>
        <w:jc w:val="left"/>
      </w:pPr>
      <w:r>
        <w:rPr>
          <w:rFonts w:ascii="Times New Roman" w:cs="Times New Roman" w:eastAsia="Times New Roman" w:hAnsi="Times New Roman"/>
          <w:b/>
          <w:bCs/>
          <w:sz w:val="28"/>
          <w:szCs w:val="28"/>
        </w:rPr>
        <w:t xml:space="preserve">2.5  Neural Stochastic Differential Equations</w:t>
      </w:r>
    </w:p>
    <w:p>
      <w:pPr>
        <w:spacing w:after="120" w:before="0" w:line="360"/>
        <w:ind w:firstLine="360"/>
        <w:jc w:val="both"/>
      </w:pPr>
      <w:r>
        <w:rPr>
          <w:rFonts w:ascii="Times New Roman" w:cs="Times New Roman" w:eastAsia="Times New Roman" w:hAnsi="Times New Roman"/>
          <w:sz w:val="24"/>
          <w:szCs w:val="24"/>
        </w:rPr>
        <w:t xml:space="preserve">Chen et al. [22] introduced Neural Ordinary Differential Equations (Neural ODEs), in which the derivative of the hidden state is parameterised by a neural network trained with the adjoint-sensitivity method for memory-efficient back-propagation. Tzen and Raginsky [23] provided theoretical foundations linking score-based generative modelling to diffusion bridges.</w:t>
      </w:r>
    </w:p>
    <w:p>
      <w:pPr>
        <w:spacing w:after="120" w:before="0" w:line="360"/>
        <w:ind w:firstLine="360"/>
        <w:jc w:val="both"/>
      </w:pPr>
      <w:r>
        <w:rPr>
          <w:rFonts w:ascii="Times New Roman" w:cs="Times New Roman" w:eastAsia="Times New Roman" w:hAnsi="Times New Roman"/>
          <w:sz w:val="24"/>
          <w:szCs w:val="24"/>
        </w:rPr>
        <w:t xml:space="preserve">Kidger et al. [21] generalised this to Neural Stochastic Differential Equations (Neural SDEs), in which both drift and diffusion are neural networks. Neural SDEs form an infinite-dimensional generative-adversarial network over paths, permitting generative fitting to financial time-series with richer distributional properties than GARCH.</w:t>
      </w:r>
    </w:p>
    <w:p>
      <w:pPr>
        <w:spacing w:after="120" w:before="0" w:line="360"/>
        <w:ind w:firstLine="360"/>
        <w:jc w:val="both"/>
      </w:pPr>
      <w:r>
        <w:rPr>
          <w:rFonts w:ascii="Times New Roman" w:cs="Times New Roman" w:eastAsia="Times New Roman" w:hAnsi="Times New Roman"/>
          <w:sz w:val="24"/>
          <w:szCs w:val="24"/>
        </w:rPr>
        <w:t xml:space="preserve">In Hedgyyyboo the Neural SDE module serves as a deterministic ("LLM-free") sanity check: it returns a drift-diffusion forecast that is compared against the LLM's directional call before a trade is executed. In this sense, the Neural SDE acts as a prior against which the probabilistic language model is grounded.</w:t>
      </w:r>
    </w:p>
    <w:p>
      <w:pPr>
        <w:spacing w:after="160" w:before="300" w:line="360"/>
        <w:jc w:val="left"/>
      </w:pPr>
      <w:r>
        <w:rPr>
          <w:rFonts w:ascii="Times New Roman" w:cs="Times New Roman" w:eastAsia="Times New Roman" w:hAnsi="Times New Roman"/>
          <w:b/>
          <w:bCs/>
          <w:sz w:val="28"/>
          <w:szCs w:val="28"/>
        </w:rPr>
        <w:t xml:space="preserve">2.6  Large Language Models in Finance and Retrieval-Augmented Generation</w:t>
      </w:r>
    </w:p>
    <w:p>
      <w:pPr>
        <w:spacing w:after="120" w:before="0" w:line="360"/>
        <w:ind w:firstLine="360"/>
        <w:jc w:val="both"/>
      </w:pPr>
      <w:r>
        <w:rPr>
          <w:rFonts w:ascii="Times New Roman" w:cs="Times New Roman" w:eastAsia="Times New Roman" w:hAnsi="Times New Roman"/>
          <w:sz w:val="24"/>
          <w:szCs w:val="24"/>
        </w:rPr>
        <w:t xml:space="preserve">Domain-specific transformer models for finance have become a crowded field. FinBERT by Araci [26] fine-tunes BERT on financial news for sentiment classification. Yang et al. [27] introduced FinGPT, an open-source family of LLMs targeting financial QA. Wu et al. [28] published BloombergGPT, a fifty-billion-parameter closed-weight decoder achieving state-of-the-art on FiQA; its weights are, however, proprietary.</w:t>
      </w:r>
    </w:p>
    <w:p>
      <w:pPr>
        <w:spacing w:after="120" w:before="0" w:line="360"/>
        <w:ind w:firstLine="360"/>
        <w:jc w:val="both"/>
      </w:pPr>
      <w:r>
        <w:rPr>
          <w:rFonts w:ascii="Times New Roman" w:cs="Times New Roman" w:eastAsia="Times New Roman" w:hAnsi="Times New Roman"/>
          <w:sz w:val="24"/>
          <w:szCs w:val="24"/>
        </w:rPr>
        <w:t xml:space="preserve">Open-weight alternatives have proliferated. Gemma-3 from Google DeepMind [29] is released under a permissive licence and includes a four-billion-parameter instruction-tuned variant (Gemma-3n-E4B-it) that fits comfortably in consumer GPU memory. OpenRouter offers free-tier hosted inference for Gemma-3n at twenty requests-per-minute throughput, making it the natural candidate for a zero-budget RAG stack.</w:t>
      </w:r>
    </w:p>
    <w:p>
      <w:pPr>
        <w:spacing w:after="120" w:before="0" w:line="360"/>
        <w:ind w:firstLine="360"/>
        <w:jc w:val="both"/>
      </w:pPr>
      <w:r>
        <w:rPr>
          <w:rFonts w:ascii="Times New Roman" w:cs="Times New Roman" w:eastAsia="Times New Roman" w:hAnsi="Times New Roman"/>
          <w:sz w:val="24"/>
          <w:szCs w:val="24"/>
        </w:rPr>
        <w:t xml:space="preserve">Retrieval-Augmented Generation, introduced by Lewis et al. [24] and surveyed by Gao et al. [25], grounds LLM output in an external context retrieved at query time. Prior RAG applications in finance tend to target static document bases (10-K filings, earnings transcripts). Hedgyyyboo differs: the retrieved context is a live, continually refreshed computation graph of seven numerical outputs plus top-five headlines, assembled at every 08:00 IST cron and at every user-triggered refresh.</w:t>
      </w:r>
    </w:p>
    <w:p>
      <w:pPr>
        <w:spacing w:after="120" w:before="0" w:line="360"/>
        <w:ind w:firstLine="360"/>
        <w:jc w:val="both"/>
      </w:pPr>
      <w:r>
        <w:rPr>
          <w:rFonts w:ascii="Times New Roman" w:cs="Times New Roman" w:eastAsia="Times New Roman" w:hAnsi="Times New Roman"/>
          <w:sz w:val="24"/>
          <w:szCs w:val="24"/>
        </w:rPr>
        <w:t xml:space="preserve">Hallucination in LLM outputs has been extensively documented [30]. Zheng et al. [32] introduced the LLM-as-judge paradigm, in which a second, typically stronger model evaluates the factual grounding of a first model's output. This is a natural extension direction for future Hedgyyyboo releases. Chen et al. [33] published the FinQA dataset, a numerical-reasoning benchmark for financial question answering.</w:t>
      </w:r>
    </w:p>
    <w:p>
      <w:pPr>
        <w:spacing w:after="120" w:before="0" w:line="360"/>
        <w:ind w:firstLine="360"/>
        <w:jc w:val="both"/>
      </w:pPr>
      <w:r>
        <w:rPr>
          <w:rFonts w:ascii="Times New Roman" w:cs="Times New Roman" w:eastAsia="Times New Roman" w:hAnsi="Times New Roman"/>
          <w:sz w:val="24"/>
          <w:szCs w:val="24"/>
        </w:rPr>
        <w:t xml:space="preserve">On the numerical-grounding question, the central finding of the Hedgyyyboo project — that Gemma-3n-E4B-it on the free tier rejects system-role messages and must instead receive a merged user turn — is undocumented in the Gemma-3 technical report [29] and thus constitutes a minor but practically important contribution.</w:t>
      </w:r>
    </w:p>
    <w:p>
      <w:pPr>
        <w:spacing w:after="120" w:before="0" w:line="360"/>
        <w:ind w:firstLine="360"/>
        <w:jc w:val="both"/>
      </w:pPr>
      <w:r>
        <w:rPr>
          <w:rFonts w:ascii="Times New Roman" w:cs="Times New Roman" w:eastAsia="Times New Roman" w:hAnsi="Times New Roman"/>
          <w:sz w:val="24"/>
          <w:szCs w:val="24"/>
        </w:rPr>
        <w:t xml:space="preserve">The final piece of prior art concerns data sources. Hedgyyyboo ingests from the SEC EDGAR full-text API [35], the CFTC Commitments-of-Traders historical archive [36], the BIS Effective Exchange Rate series [37], and the GDELT event database [38]. Each source is public, free, and documented.</w:t>
      </w:r>
    </w:p>
    <w:p>
      <w:pPr>
        <w:spacing w:after="160" w:before="300" w:line="360"/>
        <w:jc w:val="left"/>
      </w:pPr>
      <w:r>
        <w:rPr>
          <w:rFonts w:ascii="Times New Roman" w:cs="Times New Roman" w:eastAsia="Times New Roman" w:hAnsi="Times New Roman"/>
          <w:b/>
          <w:bCs/>
          <w:sz w:val="28"/>
          <w:szCs w:val="28"/>
        </w:rPr>
        <w:t xml:space="preserve">2.7  Research Gap and Problem Formulation</w:t>
      </w:r>
    </w:p>
    <w:p>
      <w:pPr>
        <w:spacing w:after="120" w:before="0" w:line="360"/>
        <w:ind w:firstLine="360"/>
        <w:jc w:val="both"/>
      </w:pPr>
      <w:r>
        <w:rPr>
          <w:rFonts w:ascii="Times New Roman" w:cs="Times New Roman" w:eastAsia="Times New Roman" w:hAnsi="Times New Roman"/>
          <w:sz w:val="24"/>
          <w:szCs w:val="24"/>
        </w:rPr>
        <w:t xml:space="preserve">Synthesising the above, we distil three gaps not filled by any single prior work.</w:t>
      </w:r>
    </w:p>
    <w:p>
      <w:pPr>
        <w:spacing w:after="120" w:before="0" w:line="360"/>
        <w:ind w:firstLine="360"/>
        <w:jc w:val="both"/>
      </w:pPr>
      <w:r>
        <w:rPr>
          <w:rFonts w:ascii="Times New Roman" w:cs="Times New Roman" w:eastAsia="Times New Roman" w:hAnsi="Times New Roman"/>
          <w:sz w:val="24"/>
          <w:szCs w:val="24"/>
        </w:rPr>
        <w:t xml:space="preserve">Gap 1 — Integration. No open-source platform integrates at least five stochastic-calculus pricing engines with a retrieval-augmented LLM layer. Prior finance-RAG work grounds on static documents; prior quantitative-finance open-source efforts (QuantLib, zipline, backtrader) expose numerical primitives but no narrative layer.</w:t>
      </w:r>
    </w:p>
    <w:p>
      <w:pPr>
        <w:spacing w:after="120" w:before="0" w:line="360"/>
        <w:ind w:firstLine="360"/>
        <w:jc w:val="both"/>
      </w:pPr>
      <w:r>
        <w:rPr>
          <w:rFonts w:ascii="Times New Roman" w:cs="Times New Roman" w:eastAsia="Times New Roman" w:hAnsi="Times New Roman"/>
          <w:sz w:val="24"/>
          <w:szCs w:val="24"/>
        </w:rPr>
        <w:t xml:space="preserve">Gap 2 — Cost. Existing institutional platforms (Bloomberg Terminal, FactSet) cost upwards of USD 24,000 per seat per year. Existing open-source stacks require either expensive LLM APIs (OpenAI GPT-4 Turbo at approximately USD 0.01 per kilo-token input) or dedicated GPU infrastructure for self-hosted inference.</w:t>
      </w:r>
    </w:p>
    <w:p>
      <w:pPr>
        <w:spacing w:after="120" w:before="0" w:line="360"/>
        <w:ind w:firstLine="360"/>
        <w:jc w:val="both"/>
      </w:pPr>
      <w:r>
        <w:rPr>
          <w:rFonts w:ascii="Times New Roman" w:cs="Times New Roman" w:eastAsia="Times New Roman" w:hAnsi="Times New Roman"/>
          <w:sz w:val="24"/>
          <w:szCs w:val="24"/>
        </w:rPr>
        <w:t xml:space="preserve">Gap 3 — Reproducibility. Closed-weight models (BloombergGPT) are not available for research replication. Free-tier APIs (OpenRouter, Groq) have undocumented rate limits and, in the case of Gemma-3n, undocumented prompt-structure restrictions.</w:t>
      </w:r>
    </w:p>
    <w:p>
      <w:pPr>
        <w:spacing w:after="120" w:before="0" w:line="360"/>
        <w:ind w:firstLine="360"/>
        <w:jc w:val="both"/>
      </w:pPr>
      <w:r>
        <w:rPr>
          <w:rFonts w:ascii="Times New Roman" w:cs="Times New Roman" w:eastAsia="Times New Roman" w:hAnsi="Times New Roman"/>
          <w:sz w:val="24"/>
          <w:szCs w:val="24"/>
        </w:rPr>
        <w:t xml:space="preserve">The problem addressed by Hedgyyyboo is therefore to deliver a reproducible open-source reference implementation that closes all three gaps simultaneously on commodity hardware.</w:t>
      </w:r>
    </w:p>
    <w:p>
      <w:pPr>
        <w:spacing w:after="160" w:before="300" w:line="360"/>
        <w:jc w:val="left"/>
      </w:pPr>
      <w:r>
        <w:rPr>
          <w:rFonts w:ascii="Times New Roman" w:cs="Times New Roman" w:eastAsia="Times New Roman" w:hAnsi="Times New Roman"/>
          <w:b/>
          <w:bCs/>
          <w:sz w:val="28"/>
          <w:szCs w:val="28"/>
        </w:rPr>
        <w:t xml:space="preserve">2.8  Summary</w:t>
      </w:r>
    </w:p>
    <w:p>
      <w:pPr>
        <w:spacing w:after="120" w:before="0" w:line="360"/>
        <w:ind w:firstLine="360"/>
        <w:jc w:val="both"/>
      </w:pPr>
      <w:r>
        <w:rPr>
          <w:rFonts w:ascii="Times New Roman" w:cs="Times New Roman" w:eastAsia="Times New Roman" w:hAnsi="Times New Roman"/>
          <w:sz w:val="24"/>
          <w:szCs w:val="24"/>
        </w:rPr>
        <w:t xml:space="preserve">In summary, this chapter surveyed thirty-seven peer-reviewed references across five axes — stochastic pricing, factor models, tail-risk, neural SDEs, and LLMs in finance — and identified three orthogonal research gaps: integration, cost, and reproducibility. These three gaps collectively motivate the Hedgyyyboo design presented in the next chapter.</w:t>
      </w:r>
    </w:p>
    <w:p>
      <w:pPr>
        <w:pageBreakBefore/>
        <w:spacing w:after="240" w:before="1200"/>
        <w:jc w:val="center"/>
      </w:pPr>
      <w:r>
        <w:rPr>
          <w:rFonts w:ascii="Times New Roman" w:cs="Times New Roman" w:eastAsia="Times New Roman" w:hAnsi="Times New Roman"/>
          <w:b/>
          <w:bCs/>
          <w:sz w:val="36"/>
          <w:szCs w:val="36"/>
        </w:rPr>
        <w:t xml:space="preserve">Chapter 3</w:t>
      </w:r>
    </w:p>
    <w:p>
      <w:pPr>
        <w:spacing w:after="480" w:before="120" w:line="360"/>
        <w:jc w:val="center"/>
      </w:pPr>
      <w:r>
        <w:rPr>
          <w:rFonts w:ascii="Times New Roman" w:cs="Times New Roman" w:eastAsia="Times New Roman" w:hAnsi="Times New Roman"/>
          <w:b/>
          <w:bCs/>
          <w:sz w:val="36"/>
          <w:szCs w:val="36"/>
        </w:rPr>
        <w:t xml:space="preserve">Methodology and Implementation</w:t>
      </w:r>
    </w:p>
    <w:p>
      <w:pPr>
        <w:spacing w:after="120" w:before="0" w:line="360"/>
        <w:ind w:firstLine="360"/>
        <w:jc w:val="both"/>
      </w:pPr>
      <w:r>
        <w:rPr>
          <w:rFonts w:ascii="Times New Roman" w:cs="Times New Roman" w:eastAsia="Times New Roman" w:hAnsi="Times New Roman"/>
          <w:sz w:val="24"/>
          <w:szCs w:val="24"/>
        </w:rPr>
        <w:t xml:space="preserve">This chapter presents the methodology adopted to address the research gaps identified in Chapter 2. Section 3.1 introduces the block diagram of the Hedgyyyboo system. Section 3.2 catalogues the hardware and software stack. Section 3.3 describes the software architecture, the ingestion layer, the numeric core (seven models presented one by one with their defining equations), the LLM integration layer, and the presentation layer. Section 3.4 details the development workflow including the APScheduler cron and caching strategy.</w:t>
      </w:r>
    </w:p>
    <w:p>
      <w:pPr>
        <w:spacing w:after="160" w:before="300" w:line="360"/>
        <w:jc w:val="left"/>
      </w:pPr>
      <w:r>
        <w:rPr>
          <w:rFonts w:ascii="Times New Roman" w:cs="Times New Roman" w:eastAsia="Times New Roman" w:hAnsi="Times New Roman"/>
          <w:b/>
          <w:bCs/>
          <w:sz w:val="28"/>
          <w:szCs w:val="28"/>
        </w:rPr>
        <w:t xml:space="preserve">3.1  Block Diagram of the System</w:t>
      </w:r>
    </w:p>
    <w:p>
      <w:pPr>
        <w:spacing w:after="120" w:before="0" w:line="360"/>
        <w:ind w:firstLine="360"/>
        <w:jc w:val="both"/>
      </w:pPr>
      <w:r>
        <w:rPr>
          <w:rFonts w:ascii="Times New Roman" w:cs="Times New Roman" w:eastAsia="Times New Roman" w:hAnsi="Times New Roman"/>
          <w:sz w:val="24"/>
          <w:szCs w:val="24"/>
        </w:rPr>
        <w:t xml:space="preserve">Figure 3.1 presents the high-level block diagram of Hedgyyyboo. The system follows a strict three-tier architecture: an Ingestion Layer on the left, an Analytic Core in the centre, and a Presentation Layer on the right. The Analytic Core is further decomposed into a Numeric Sub-Core (classical stochastic-calculus models) and an LLM Sub-Core (retrieval-augmented generation via Gemma-3n). Data flows strictly from left to right.</w:t>
      </w:r>
    </w:p>
    <w:p>
      <w:pPr>
        <w:spacing w:after="120" w:before="0" w:line="360"/>
        <w:ind w:firstLine="360"/>
        <w:jc w:val="both"/>
      </w:pPr>
      <w:r>
        <w:rPr>
          <w:rFonts w:ascii="Times New Roman" w:cs="Times New Roman" w:eastAsia="Times New Roman" w:hAnsi="Times New Roman"/>
          <w:sz w:val="24"/>
          <w:szCs w:val="24"/>
        </w:rPr>
        <w:t xml:space="preserve">The Numeric Sub-Core runs locally in-process as pure Python functions; each model exposes a JSON contract so that the RAG-context builder can concatenate outputs without schema drift. The LLM Sub-Core makes a single outbound HTTPS call to OpenRouter's chat-completion endpoint. The Presentation Layer consumes the JSON responses through an Axios HTTP client and renders them in three specialised React desks.</w:t>
      </w:r>
    </w:p>
    <w:p>
      <w:pPr>
        <w:spacing w:after="120" w:before="0" w:line="360"/>
        <w:ind w:firstLine="360"/>
        <w:jc w:val="both"/>
      </w:pPr>
      <w:r>
        <w:rPr>
          <w:rFonts w:ascii="Times New Roman" w:cs="Times New Roman" w:eastAsia="Times New Roman" w:hAnsi="Times New Roman"/>
          <w:sz w:val="24"/>
          <w:szCs w:val="24"/>
        </w:rPr>
        <w:t xml:space="preserve">The data-flow detail is further elaborated in Figure 3.2, which shows the layered interaction between external data sources, caching, the numeric and RAG engines, and the front-end.</w:t>
      </w:r>
    </w:p>
    <w:p>
      <w:pPr>
        <w:spacing w:after="80" w:before="200"/>
        <w:jc w:val="center"/>
      </w:pPr>
      <w:r>
        <w:drawing>
          <wp:inline distT="0" distB="0" distL="0" distR="0">
            <wp:extent cx="4191000" cy="2476500"/>
            <wp:effectExtent t="0" r="0" b="0" l="0"/>
            <wp:docPr id="1" name="fig1_architecture.png" descr="Fig. 3.1. Hedgyyyboo three-tier block diagram." title="Fig. 3.1. Hedgyyyboo three-ti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3.1. Hedgyyyboo three-tier block diagram.</w:t>
      </w:r>
    </w:p>
    <w:p>
      <w:pPr>
        <w:spacing w:after="160" w:before="300" w:line="360"/>
        <w:jc w:val="left"/>
      </w:pPr>
      <w:r>
        <w:rPr>
          <w:rFonts w:ascii="Times New Roman" w:cs="Times New Roman" w:eastAsia="Times New Roman" w:hAnsi="Times New Roman"/>
          <w:b/>
          <w:bCs/>
          <w:sz w:val="28"/>
          <w:szCs w:val="28"/>
        </w:rPr>
        <w:t xml:space="preserve">3.2  Hardware and Software Description</w:t>
      </w:r>
    </w:p>
    <w:p>
      <w:pPr>
        <w:spacing w:after="120" w:before="0" w:line="360"/>
        <w:ind w:firstLine="360"/>
        <w:jc w:val="both"/>
      </w:pPr>
      <w:r>
        <w:rPr>
          <w:rFonts w:ascii="Times New Roman" w:cs="Times New Roman" w:eastAsia="Times New Roman" w:hAnsi="Times New Roman"/>
          <w:sz w:val="24"/>
          <w:szCs w:val="24"/>
        </w:rPr>
        <w:t xml:space="preserve">All development, experimentation, and deployment took place on a single commodity laptop.</w:t>
      </w:r>
    </w:p>
    <w:p>
      <w:pPr>
        <w:spacing w:after="120" w:before="0" w:line="360"/>
        <w:ind w:firstLine="360"/>
        <w:jc w:val="both"/>
      </w:pPr>
      <w:r>
        <w:rPr>
          <w:rFonts w:ascii="Times New Roman" w:cs="Times New Roman" w:eastAsia="Times New Roman" w:hAnsi="Times New Roman"/>
          <w:sz w:val="24"/>
          <w:szCs w:val="24"/>
        </w:rPr>
        <w:t xml:space="preserve">Hardware. Apple MacBook Pro 2023, Apple Silicon (M-series) processor, 16 GB unified memory, 1 TB SSD, macOS 14 Sonoma. No external GPU was used; all LLM inference is remote via the OpenRouter HTTPS endpoint.</w:t>
      </w:r>
    </w:p>
    <w:p>
      <w:pPr>
        <w:spacing w:after="120" w:before="0" w:line="360"/>
        <w:ind w:firstLine="360"/>
        <w:jc w:val="both"/>
      </w:pPr>
      <w:r>
        <w:rPr>
          <w:rFonts w:ascii="Times New Roman" w:cs="Times New Roman" w:eastAsia="Times New Roman" w:hAnsi="Times New Roman"/>
          <w:sz w:val="24"/>
          <w:szCs w:val="24"/>
        </w:rPr>
        <w:t xml:space="preserve">Back-end software. Python 3.11 (CPython reference implementation), FastAPI 0.115 as the ASGI web framework, Uvicorn 0.32 as the ASGI server, Pydantic 2.9 for data validation, NumPy 1.26 for numerical arrays, SciPy 1.14 for optimisation and special functions, scikit-learn 1.5 for PCA, APScheduler 3.10 for cron-driven tasks, SQLAlchemy 2.0.35 as the ORM, and SQLite 3 as the embedded relational database backing the trade ledger and morning-brief cache. The HTTP client for OpenRouter is httpx 0.27 with a sixty-second timeout and automatic retry.</w:t>
      </w:r>
    </w:p>
    <w:p>
      <w:pPr>
        <w:spacing w:after="120" w:before="0" w:line="360"/>
        <w:ind w:firstLine="360"/>
        <w:jc w:val="both"/>
      </w:pPr>
      <w:r>
        <w:rPr>
          <w:rFonts w:ascii="Times New Roman" w:cs="Times New Roman" w:eastAsia="Times New Roman" w:hAnsi="Times New Roman"/>
          <w:sz w:val="24"/>
          <w:szCs w:val="24"/>
        </w:rPr>
        <w:t xml:space="preserve">Front-end software. Next.js 16.1.6 (using the new Turbopack bundler), React 19, TypeScript 5.6, Tailwind CSS 4 (pre-release), Recharts 2.12 for charts, Framer Motion 11 for transitions, Axios 1.7 for HTTP, and Lucide-React for icons. The dark terminal-style theme uses green (#00ff9f), cyan (#00c8ff), amber (#ffb020), and red (#ff4d6d) accents on a near-black base palette (#0a0f1c).</w:t>
      </w:r>
    </w:p>
    <w:p>
      <w:pPr>
        <w:spacing w:after="120" w:before="0" w:line="360"/>
        <w:ind w:firstLine="360"/>
        <w:jc w:val="both"/>
      </w:pPr>
      <w:r>
        <w:rPr>
          <w:rFonts w:ascii="Times New Roman" w:cs="Times New Roman" w:eastAsia="Times New Roman" w:hAnsi="Times New Roman"/>
          <w:sz w:val="24"/>
          <w:szCs w:val="24"/>
        </w:rPr>
        <w:t xml:space="preserve">External data sources (all free). Yahoo Finance (FX, equities); U.S. Treasury Daily Yield Curve (rates); Google News RSS (ten categories); SEC EDGAR full-text search API (filings); CFTC Commitments-of-Traders (futures positioning); BIS Effective Exchange Rates (REER); GDELT event database (geo-events); Forex Factory public calendar (macro events).</w:t>
      </w:r>
    </w:p>
    <w:p>
      <w:pPr>
        <w:spacing w:after="120" w:before="0" w:line="360"/>
        <w:ind w:firstLine="360"/>
        <w:jc w:val="both"/>
      </w:pPr>
      <w:r>
        <w:rPr>
          <w:rFonts w:ascii="Times New Roman" w:cs="Times New Roman" w:eastAsia="Times New Roman" w:hAnsi="Times New Roman"/>
          <w:sz w:val="24"/>
          <w:szCs w:val="24"/>
        </w:rPr>
        <w:t xml:space="preserve">LLM. Google Gemma-3n-E4B-it (four billion parameters, instruction-tuned) served free-of-charge through OpenRouter. The model endpoint is https://openrouter.ai/api/v1/chat/completions; authentication is through a single API key supplied in the server's .env file.</w:t>
      </w:r>
    </w:p>
    <w:p>
      <w:pPr>
        <w:spacing w:after="120" w:before="0" w:line="360"/>
        <w:ind w:firstLine="360"/>
        <w:jc w:val="both"/>
      </w:pPr>
      <w:r>
        <w:rPr>
          <w:rFonts w:ascii="Times New Roman" w:cs="Times New Roman" w:eastAsia="Times New Roman" w:hAnsi="Times New Roman"/>
          <w:sz w:val="24"/>
          <w:szCs w:val="24"/>
        </w:rPr>
        <w:t xml:space="preserve">A consolidated component inventory appears in Appendix C.</w:t>
      </w:r>
    </w:p>
    <w:p>
      <w:pPr>
        <w:spacing w:after="160" w:before="300" w:line="360"/>
        <w:jc w:val="left"/>
      </w:pPr>
      <w:r>
        <w:rPr>
          <w:rFonts w:ascii="Times New Roman" w:cs="Times New Roman" w:eastAsia="Times New Roman" w:hAnsi="Times New Roman"/>
          <w:b/>
          <w:bCs/>
          <w:sz w:val="28"/>
          <w:szCs w:val="28"/>
        </w:rPr>
        <w:t xml:space="preserve">3.3  Software Description, Flowchart, and Algorithms</w:t>
      </w:r>
    </w:p>
    <w:p>
      <w:pPr>
        <w:spacing w:after="120" w:before="0" w:line="360"/>
        <w:ind w:firstLine="360"/>
        <w:jc w:val="both"/>
      </w:pPr>
      <w:r>
        <w:rPr>
          <w:rFonts w:ascii="Times New Roman" w:cs="Times New Roman" w:eastAsia="Times New Roman" w:hAnsi="Times New Roman"/>
          <w:sz w:val="24"/>
          <w:szCs w:val="24"/>
        </w:rPr>
        <w:t xml:space="preserve">The back-end (Figure 3.2) is organised in six "phases" that correspond to loose groupings of endpoints by domain (market, rates, derivatives, research, workflow, execution). Every phase exposes an idempotent REST interface and writes through to the SQLite ledger on stateful operations (trade, log, audit). On startup, the APScheduler fires a single cron at 08:00 IST that regenerates the morning brief; between crons the brief is served from an in-memory cache and expires only on explicit user refresh.</w:t>
      </w:r>
    </w:p>
    <w:p>
      <w:pPr>
        <w:spacing w:after="120" w:before="0" w:line="360"/>
        <w:ind w:firstLine="360"/>
        <w:jc w:val="both"/>
      </w:pPr>
      <w:r>
        <w:rPr>
          <w:rFonts w:ascii="Times New Roman" w:cs="Times New Roman" w:eastAsia="Times New Roman" w:hAnsi="Times New Roman"/>
          <w:sz w:val="24"/>
          <w:szCs w:val="24"/>
        </w:rPr>
        <w:t xml:space="preserve">Algorithm 3.1 below sketches the morning-brief generation pipeline.</w:t>
      </w:r>
    </w:p>
    <w:p>
      <w:pPr>
        <w:spacing w:after="120" w:before="0" w:line="360"/>
        <w:ind w:firstLine="360"/>
        <w:jc w:val="both"/>
      </w:pPr>
      <w:r>
        <w:rPr>
          <w:rFonts w:ascii="Times New Roman" w:cs="Times New Roman" w:eastAsia="Times New Roman" w:hAnsi="Times New Roman"/>
          <w:sz w:val="24"/>
          <w:szCs w:val="24"/>
        </w:rPr>
        <w:t xml:space="preserve">Algorithm 3.1 — generate_morning_brief()
Step 1. Read top-five macro headlines from the Google News RSS cache.
Step 2. Pull the latest 11-tenor U.S. Treasury yield vector and append to the rolling 500-day window.
Step 3. Compute Σ = (1 / (T − 1)) Y^⊤ Y and eigendecompose into (λ_k, φ_k).
Step 4. For every monitored FX cross, run OU-MLE (Section 3.3.1) and Hurst R/S (Section 3.3.2).
Step 5. For the top-ten equity holdings, fit GARCH(1,1) and compute VaR_0.01 and ES_0.01.
Step 6. Assemble the RAG context in this order: headlines → PCA scores → OU table → GARCH table → next-24h Forex Factory high-impact events.
Step 7. POST to OpenRouter with the merged system+user prompt (Section 3.3.8).
Step 8. Parse the JSON response, write to PDF via ReportLab, and cache in the in-memory dictionary.</w:t>
      </w:r>
    </w:p>
    <w:p>
      <w:pPr>
        <w:spacing w:after="120" w:before="0" w:line="360"/>
        <w:ind w:firstLine="360"/>
        <w:jc w:val="both"/>
      </w:pPr>
      <w:r>
        <w:rPr>
          <w:rFonts w:ascii="Times New Roman" w:cs="Times New Roman" w:eastAsia="Times New Roman" w:hAnsi="Times New Roman"/>
          <w:sz w:val="24"/>
          <w:szCs w:val="24"/>
        </w:rPr>
        <w:t xml:space="preserve">The following subsections detail each numeric model.</w:t>
      </w:r>
    </w:p>
    <w:p>
      <w:pPr>
        <w:spacing w:after="80" w:before="200"/>
        <w:jc w:val="center"/>
      </w:pPr>
      <w:r>
        <w:drawing>
          <wp:inline distT="0" distB="0" distL="0" distR="0">
            <wp:extent cx="4191000" cy="2476500"/>
            <wp:effectExtent t="0" r="0" b="0" l="0"/>
            <wp:docPr id="1" name="fig7_dataflow.png" descr="Fig. 3.2. Data flow architecture showing layered interaction between ingestion, analytic, and presentation layers." title="Fig. 3.2. Data flow architecture showing layered interaction between ingestion, analytic, and present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3.2. Data flow architecture showing layered interaction between ingestion, analytic, and presentation layers.</w:t>
      </w:r>
    </w:p>
    <w:p>
      <w:pPr>
        <w:spacing w:after="120" w:before="240" w:line="360"/>
        <w:jc w:val="left"/>
      </w:pPr>
      <w:r>
        <w:rPr>
          <w:rFonts w:ascii="Times New Roman" w:cs="Times New Roman" w:eastAsia="Times New Roman" w:hAnsi="Times New Roman"/>
          <w:b/>
          <w:bCs/>
          <w:sz w:val="24"/>
          <w:szCs w:val="24"/>
        </w:rPr>
        <w:t xml:space="preserve">3.3.1  Ornstein–Uhlenbeck Mean-Reversion via Maximum Likelihood</w:t>
      </w:r>
    </w:p>
    <w:p>
      <w:pPr>
        <w:spacing w:after="120" w:before="0" w:line="360"/>
        <w:ind w:firstLine="360"/>
        <w:jc w:val="both"/>
      </w:pPr>
      <w:r>
        <w:rPr>
          <w:rFonts w:ascii="Times New Roman" w:cs="Times New Roman" w:eastAsia="Times New Roman" w:hAnsi="Times New Roman"/>
          <w:sz w:val="24"/>
          <w:szCs w:val="24"/>
        </w:rPr>
        <w:t xml:space="preserve">The Ornstein–Uhlenbeck (OU) diffusion models a log-FX cross X_t = log S_t as a Gaussian mean-reverting process:</w:t>
      </w:r>
    </w:p>
    <w:p>
      <w:pPr>
        <w:spacing w:after="120" w:before="0" w:line="360"/>
        <w:ind w:firstLine="360"/>
        <w:jc w:val="both"/>
      </w:pPr>
      <w:r>
        <w:rPr>
          <w:rFonts w:ascii="Times New Roman" w:cs="Times New Roman" w:eastAsia="Times New Roman" w:hAnsi="Times New Roman"/>
          <w:sz w:val="24"/>
          <w:szCs w:val="24"/>
        </w:rPr>
        <w:t xml:space="preserve">dX_t = κ (θ − X_t) dt + σ dW_t            (3.1)</w:t>
      </w:r>
    </w:p>
    <w:p>
      <w:pPr>
        <w:spacing w:after="120" w:before="0" w:line="360"/>
        <w:ind w:firstLine="360"/>
        <w:jc w:val="both"/>
      </w:pPr>
      <w:r>
        <w:rPr>
          <w:rFonts w:ascii="Times New Roman" w:cs="Times New Roman" w:eastAsia="Times New Roman" w:hAnsi="Times New Roman"/>
          <w:sz w:val="24"/>
          <w:szCs w:val="24"/>
        </w:rPr>
        <w:t xml:space="preserve">where κ &gt; 0 is the speed of reversion, θ is the long-run mean, σ is the diffusion coefficient, and W_t is a standard Brownian motion. Discretisation at step Δt yields an equivalent AR(1) form:</w:t>
      </w:r>
    </w:p>
    <w:p>
      <w:pPr>
        <w:spacing w:after="120" w:before="0" w:line="360"/>
        <w:ind w:firstLine="360"/>
        <w:jc w:val="both"/>
      </w:pPr>
      <w:r>
        <w:rPr>
          <w:rFonts w:ascii="Times New Roman" w:cs="Times New Roman" w:eastAsia="Times New Roman" w:hAnsi="Times New Roman"/>
          <w:sz w:val="24"/>
          <w:szCs w:val="24"/>
        </w:rPr>
        <w:t xml:space="preserve">X_{t+Δt} = a + b X_t + ε_t                (3.2)</w:t>
      </w:r>
    </w:p>
    <w:p>
      <w:pPr>
        <w:spacing w:after="120" w:before="0" w:line="360"/>
        <w:ind w:firstLine="360"/>
        <w:jc w:val="both"/>
      </w:pPr>
      <w:r>
        <w:rPr>
          <w:rFonts w:ascii="Times New Roman" w:cs="Times New Roman" w:eastAsia="Times New Roman" w:hAnsi="Times New Roman"/>
          <w:sz w:val="24"/>
          <w:szCs w:val="24"/>
        </w:rPr>
        <w:t xml:space="preserve">with a = θ (1 − e^{−κΔt}), b = e^{−κΔt}, and ε_t drawn from a zero-mean normal with variance σ²(1 − e^{−2κΔt}) / (2κ). The least-squares (equivalently, MLE) estimators are:</w:t>
      </w:r>
    </w:p>
    <w:p>
      <w:pPr>
        <w:spacing w:after="120" w:before="0" w:line="360"/>
        <w:ind w:firstLine="360"/>
        <w:jc w:val="both"/>
      </w:pPr>
      <w:r>
        <w:rPr>
          <w:rFonts w:ascii="Times New Roman" w:cs="Times New Roman" w:eastAsia="Times New Roman" w:hAnsi="Times New Roman"/>
          <w:sz w:val="24"/>
          <w:szCs w:val="24"/>
        </w:rPr>
        <w:t xml:space="preserve">b̂ = [n Σ X_t X_{t+Δt} − Σ X_t Σ X_{t+Δt}] / [n Σ X_t² − (Σ X_t)²]   (3.3)
                          â = mean(X_{t+Δt}) − b̂ · mean(X_t)        (3.4)</w:t>
      </w:r>
    </w:p>
    <w:p>
      <w:pPr>
        <w:spacing w:after="120" w:before="0" w:line="360"/>
        <w:ind w:firstLine="360"/>
        <w:jc w:val="both"/>
      </w:pPr>
      <w:r>
        <w:rPr>
          <w:rFonts w:ascii="Times New Roman" w:cs="Times New Roman" w:eastAsia="Times New Roman" w:hAnsi="Times New Roman"/>
          <w:sz w:val="24"/>
          <w:szCs w:val="24"/>
        </w:rPr>
        <w:t xml:space="preserve">The mean-reversion speed and half-life follow:</w:t>
      </w:r>
    </w:p>
    <w:p>
      <w:pPr>
        <w:spacing w:after="120" w:before="0" w:line="360"/>
        <w:ind w:firstLine="360"/>
        <w:jc w:val="both"/>
      </w:pPr>
      <w:r>
        <w:rPr>
          <w:rFonts w:ascii="Times New Roman" w:cs="Times New Roman" w:eastAsia="Times New Roman" w:hAnsi="Times New Roman"/>
          <w:sz w:val="24"/>
          <w:szCs w:val="24"/>
        </w:rPr>
        <w:t xml:space="preserve">κ̂ = −log(b̂) / Δt,  τ̂_½ = ln 2 / κ̂   (3.5)</w:t>
      </w:r>
    </w:p>
    <w:p>
      <w:pPr>
        <w:spacing w:after="120" w:before="0" w:line="360"/>
        <w:ind w:firstLine="360"/>
        <w:jc w:val="both"/>
      </w:pPr>
      <w:r>
        <w:rPr>
          <w:rFonts w:ascii="Times New Roman" w:cs="Times New Roman" w:eastAsia="Times New Roman" w:hAnsi="Times New Roman"/>
          <w:sz w:val="24"/>
          <w:szCs w:val="24"/>
        </w:rPr>
        <w:t xml:space="preserve">A pair is classified as mean-reverting if and only if κ̂ &gt; 0 and the t-statistic on (b̂ − 1) is below the 5% Augmented-Dickey-Fuller critical value of −2.89.</w:t>
      </w:r>
    </w:p>
    <w:p>
      <w:pPr>
        <w:spacing w:after="120" w:before="240" w:line="360"/>
        <w:jc w:val="left"/>
      </w:pPr>
      <w:r>
        <w:rPr>
          <w:rFonts w:ascii="Times New Roman" w:cs="Times New Roman" w:eastAsia="Times New Roman" w:hAnsi="Times New Roman"/>
          <w:b/>
          <w:bCs/>
          <w:sz w:val="24"/>
          <w:szCs w:val="24"/>
        </w:rPr>
        <w:t xml:space="preserve">3.3.2  Hurst Exponent via Rescaled-Range Analysis</w:t>
      </w:r>
    </w:p>
    <w:p>
      <w:pPr>
        <w:spacing w:after="120" w:before="0" w:line="360"/>
        <w:ind w:firstLine="360"/>
        <w:jc w:val="both"/>
      </w:pPr>
      <w:r>
        <w:rPr>
          <w:rFonts w:ascii="Times New Roman" w:cs="Times New Roman" w:eastAsia="Times New Roman" w:hAnsi="Times New Roman"/>
          <w:sz w:val="24"/>
          <w:szCs w:val="24"/>
        </w:rPr>
        <w:t xml:space="preserve">For a return series {r_i} of length N, the series is partitioned into non-overlapping blocks of size n. Within each block, the mean-centred cumulative series is Y_k = Σ_{i=1..k} (r_i − r̄), and the rescaled range is R(n) / S(n) = [max_k Y_k − min_k Y_k] / stddev(r_i). The Hurst exponent H is the slope of log(R/S) vs. log n:</w:t>
      </w:r>
    </w:p>
    <w:p>
      <w:pPr>
        <w:spacing w:after="120" w:before="0" w:line="360"/>
        <w:ind w:firstLine="360"/>
        <w:jc w:val="both"/>
      </w:pPr>
      <w:r>
        <w:rPr>
          <w:rFonts w:ascii="Times New Roman" w:cs="Times New Roman" w:eastAsia="Times New Roman" w:hAnsi="Times New Roman"/>
          <w:sz w:val="24"/>
          <w:szCs w:val="24"/>
        </w:rPr>
        <w:t xml:space="preserve">E[ R(n) / S(n) ] ~ c · n^H                 (3.6)</w:t>
      </w:r>
    </w:p>
    <w:p>
      <w:pPr>
        <w:spacing w:after="120" w:before="0" w:line="360"/>
        <w:ind w:firstLine="360"/>
        <w:jc w:val="both"/>
      </w:pPr>
      <w:r>
        <w:rPr>
          <w:rFonts w:ascii="Times New Roman" w:cs="Times New Roman" w:eastAsia="Times New Roman" w:hAnsi="Times New Roman"/>
          <w:sz w:val="24"/>
          <w:szCs w:val="24"/>
        </w:rPr>
        <w:t xml:space="preserve">Interpretation: H &lt; 0.5 indicates anti-persistence (mean reversion), H = 0.5 a random walk, and H &gt; 0.5 persistent momentum. The FX desk reports H for every monitored cross as a diagnostic complementary to the OU half-life.</w:t>
      </w:r>
    </w:p>
    <w:p>
      <w:pPr>
        <w:spacing w:after="120" w:before="240" w:line="360"/>
        <w:jc w:val="left"/>
      </w:pPr>
      <w:r>
        <w:rPr>
          <w:rFonts w:ascii="Times New Roman" w:cs="Times New Roman" w:eastAsia="Times New Roman" w:hAnsi="Times New Roman"/>
          <w:b/>
          <w:bCs/>
          <w:sz w:val="24"/>
          <w:szCs w:val="24"/>
        </w:rPr>
        <w:t xml:space="preserve">3.3.3  Generalised Autoregressive Conditional Heteroskedasticity</w:t>
      </w:r>
    </w:p>
    <w:p>
      <w:pPr>
        <w:spacing w:after="120" w:before="0" w:line="360"/>
        <w:ind w:firstLine="360"/>
        <w:jc w:val="both"/>
      </w:pPr>
      <w:r>
        <w:rPr>
          <w:rFonts w:ascii="Times New Roman" w:cs="Times New Roman" w:eastAsia="Times New Roman" w:hAnsi="Times New Roman"/>
          <w:sz w:val="24"/>
          <w:szCs w:val="24"/>
        </w:rPr>
        <w:t xml:space="preserve">The GARCH(1,1) volatility model by Bollerslev [16] takes log-returns r_t = log(P_t / P_{t−1}) and posits:</w:t>
      </w:r>
    </w:p>
    <w:p>
      <w:pPr>
        <w:spacing w:after="120" w:before="0" w:line="360"/>
        <w:ind w:firstLine="360"/>
        <w:jc w:val="both"/>
      </w:pPr>
      <w:r>
        <w:rPr>
          <w:rFonts w:ascii="Times New Roman" w:cs="Times New Roman" w:eastAsia="Times New Roman" w:hAnsi="Times New Roman"/>
          <w:sz w:val="24"/>
          <w:szCs w:val="24"/>
        </w:rPr>
        <w:t xml:space="preserve">r_t = μ + ε_t,  ε_t = σ_t z_t,  z_t ~ N(0, 1)   (3.7)
                          σ_t² = ω + α · ε_{t−1}² + β · σ_{t−1}²          (3.8)</w:t>
      </w:r>
    </w:p>
    <w:p>
      <w:pPr>
        <w:spacing w:after="120" w:before="0" w:line="360"/>
        <w:ind w:firstLine="360"/>
        <w:jc w:val="both"/>
      </w:pPr>
      <w:r>
        <w:rPr>
          <w:rFonts w:ascii="Times New Roman" w:cs="Times New Roman" w:eastAsia="Times New Roman" w:hAnsi="Times New Roman"/>
          <w:sz w:val="24"/>
          <w:szCs w:val="24"/>
        </w:rPr>
        <w:t xml:space="preserve">with stationarity condition α + β &lt; 1. Parameters (ω, α, β) are fitted by quasi-maximum-likelihood. The one-day α-level parametric Value-at-Risk and Expected Shortfall are:</w:t>
      </w:r>
    </w:p>
    <w:p>
      <w:pPr>
        <w:spacing w:after="120" w:before="0" w:line="360"/>
        <w:ind w:firstLine="360"/>
        <w:jc w:val="both"/>
      </w:pPr>
      <w:r>
        <w:rPr>
          <w:rFonts w:ascii="Times New Roman" w:cs="Times New Roman" w:eastAsia="Times New Roman" w:hAnsi="Times New Roman"/>
          <w:sz w:val="24"/>
          <w:szCs w:val="24"/>
        </w:rPr>
        <w:t xml:space="preserve">VaR_α = − (μ + σ_{t+1} · Φ⁻¹(α))              (3.9)
                          ES_α  = − μ + σ_{t+1} · φ(Φ⁻¹(α)) / α         (3.10)</w:t>
      </w:r>
    </w:p>
    <w:p>
      <w:pPr>
        <w:spacing w:after="120" w:before="0" w:line="360"/>
        <w:ind w:firstLine="360"/>
        <w:jc w:val="both"/>
      </w:pPr>
      <w:r>
        <w:rPr>
          <w:rFonts w:ascii="Times New Roman" w:cs="Times New Roman" w:eastAsia="Times New Roman" w:hAnsi="Times New Roman"/>
          <w:sz w:val="24"/>
          <w:szCs w:val="24"/>
        </w:rPr>
        <w:t xml:space="preserve">Hedgyyyboo reports VaR_{0.01} and ES_{0.01} on the Main desk. Figure 3.3 shows a representative annualised GARCH volatility forecast on an S&amp;P 500 proxy.</w:t>
      </w:r>
    </w:p>
    <w:p>
      <w:pPr>
        <w:spacing w:after="80" w:before="200"/>
        <w:jc w:val="center"/>
      </w:pPr>
      <w:r>
        <w:drawing>
          <wp:inline distT="0" distB="0" distL="0" distR="0">
            <wp:extent cx="4191000" cy="2476500"/>
            <wp:effectExtent t="0" r="0" b="0" l="0"/>
            <wp:docPr id="1" name="fig9_garch.png" descr="Fig. 3.3. GARCH(1,1) conditional volatility forecast on an S&amp;P 500 proxy. Volatility exhibits clustering consistent with α + β ≈ 0.97." title="Fig. 3.3. GARCH(1,1) conditional volatility forecast on an S&amp;P 500 proxy. Volatility exhibits clustering consistent with α + β ≈ 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3.3. GARCH(1,1) conditional volatility forecast on an S&amp;P 500 proxy. Volatility exhibits clustering consistent with α + β ≈ 0.97.</w:t>
      </w:r>
    </w:p>
    <w:p>
      <w:pPr>
        <w:spacing w:after="120" w:before="240" w:line="360"/>
        <w:jc w:val="left"/>
      </w:pPr>
      <w:r>
        <w:rPr>
          <w:rFonts w:ascii="Times New Roman" w:cs="Times New Roman" w:eastAsia="Times New Roman" w:hAnsi="Times New Roman"/>
          <w:b/>
          <w:bCs/>
          <w:sz w:val="24"/>
          <w:szCs w:val="24"/>
        </w:rPr>
        <w:t xml:space="preserve">3.3.4  Principal Component Analysis of the Yield Curve</w:t>
      </w:r>
    </w:p>
    <w:p>
      <w:pPr>
        <w:spacing w:after="120" w:before="0" w:line="360"/>
        <w:ind w:firstLine="360"/>
        <w:jc w:val="both"/>
      </w:pPr>
      <w:r>
        <w:rPr>
          <w:rFonts w:ascii="Times New Roman" w:cs="Times New Roman" w:eastAsia="Times New Roman" w:hAnsi="Times New Roman"/>
          <w:sz w:val="24"/>
          <w:szCs w:val="24"/>
        </w:rPr>
        <w:t xml:space="preserve">Let Y ∈ R^{T × 11} be the matrix of daily changes of the 1M, 3M, 6M, 1Y, 2Y, 3Y, 5Y, 7Y, 10Y, 20Y, and 30Y U.S. Treasury yields. The sample covariance is Σ = (1 / (T − 1)) Y^⊤ Y and its eigendecomposition reads:</w:t>
      </w:r>
    </w:p>
    <w:p>
      <w:pPr>
        <w:spacing w:after="120" w:before="0" w:line="360"/>
        <w:ind w:firstLine="360"/>
        <w:jc w:val="both"/>
      </w:pPr>
      <w:r>
        <w:rPr>
          <w:rFonts w:ascii="Times New Roman" w:cs="Times New Roman" w:eastAsia="Times New Roman" w:hAnsi="Times New Roman"/>
          <w:sz w:val="24"/>
          <w:szCs w:val="24"/>
        </w:rPr>
        <w:t xml:space="preserve">Σ = Σ_{k=1..11} λ_k · φ_k · φ_k^⊤             (3.11)</w:t>
      </w:r>
    </w:p>
    <w:p>
      <w:pPr>
        <w:spacing w:after="120" w:before="0" w:line="360"/>
        <w:ind w:firstLine="360"/>
        <w:jc w:val="both"/>
      </w:pPr>
      <w:r>
        <w:rPr>
          <w:rFonts w:ascii="Times New Roman" w:cs="Times New Roman" w:eastAsia="Times New Roman" w:hAnsi="Times New Roman"/>
          <w:sz w:val="24"/>
          <w:szCs w:val="24"/>
        </w:rPr>
        <w:t xml:space="preserve">with λ_1 ≥ λ_2 ≥ … ≥ λ_11. Empirically, three components explain ≈ 99% of variance and correspond to the Litterman–Scheinkman Level / Slope / Curvature factors. Daily PC scores z_t = φ_k^⊤ y_t are reported numerically and also consumed by the RAG prompt builder for narrative translation.</w:t>
      </w:r>
    </w:p>
    <w:p>
      <w:pPr>
        <w:spacing w:after="120" w:before="240" w:line="360"/>
        <w:jc w:val="left"/>
      </w:pPr>
      <w:r>
        <w:rPr>
          <w:rFonts w:ascii="Times New Roman" w:cs="Times New Roman" w:eastAsia="Times New Roman" w:hAnsi="Times New Roman"/>
          <w:b/>
          <w:bCs/>
          <w:sz w:val="24"/>
          <w:szCs w:val="24"/>
        </w:rPr>
        <w:t xml:space="preserve">3.3.5  Hull–White One-Factor Short-Rate Model</w:t>
      </w:r>
    </w:p>
    <w:p>
      <w:pPr>
        <w:spacing w:after="120" w:before="0" w:line="360"/>
        <w:ind w:firstLine="360"/>
        <w:jc w:val="both"/>
      </w:pPr>
      <w:r>
        <w:rPr>
          <w:rFonts w:ascii="Times New Roman" w:cs="Times New Roman" w:eastAsia="Times New Roman" w:hAnsi="Times New Roman"/>
          <w:sz w:val="24"/>
          <w:szCs w:val="24"/>
        </w:rPr>
        <w:t xml:space="preserve">The Hull–White [3] extended Vasicek model takes the short rate r_t to follow:</w:t>
      </w:r>
    </w:p>
    <w:p>
      <w:pPr>
        <w:spacing w:after="120" w:before="0" w:line="360"/>
        <w:ind w:firstLine="360"/>
        <w:jc w:val="both"/>
      </w:pPr>
      <w:r>
        <w:rPr>
          <w:rFonts w:ascii="Times New Roman" w:cs="Times New Roman" w:eastAsia="Times New Roman" w:hAnsi="Times New Roman"/>
          <w:sz w:val="24"/>
          <w:szCs w:val="24"/>
        </w:rPr>
        <w:t xml:space="preserve">dr_t = [θ(t) − a · r_t] dt + σ dW_t           (3.12)</w:t>
      </w:r>
    </w:p>
    <w:p>
      <w:pPr>
        <w:spacing w:after="120" w:before="0" w:line="360"/>
        <w:ind w:firstLine="360"/>
        <w:jc w:val="both"/>
      </w:pPr>
      <w:r>
        <w:rPr>
          <w:rFonts w:ascii="Times New Roman" w:cs="Times New Roman" w:eastAsia="Times New Roman" w:hAnsi="Times New Roman"/>
          <w:sz w:val="24"/>
          <w:szCs w:val="24"/>
        </w:rPr>
        <w:t xml:space="preserve">where a is the speed of mean reversion, σ the rate-diffusion coefficient, and θ(t) a deterministic function chosen so that the model exactly fits the initial discount curve. The zero-coupon-bond price admits the affine form:</w:t>
      </w:r>
    </w:p>
    <w:p>
      <w:pPr>
        <w:spacing w:after="120" w:before="0" w:line="360"/>
        <w:ind w:firstLine="360"/>
        <w:jc w:val="both"/>
      </w:pPr>
      <w:r>
        <w:rPr>
          <w:rFonts w:ascii="Times New Roman" w:cs="Times New Roman" w:eastAsia="Times New Roman" w:hAnsi="Times New Roman"/>
          <w:sz w:val="24"/>
          <w:szCs w:val="24"/>
        </w:rPr>
        <w:t xml:space="preserve">P(t, T) = A(t, T) · exp(−B(t, T) · r_t)       (3.13)
                          B(t, T) = [1 − e^{−a(T − t)}] / a              (3.14)
                          log A(t, T) = log[P^M(0, T) / P^M(0, t)] + B · f^M(0, t) − (σ² / 4a)(1 − e^{−2at}) B²   (3.15)</w:t>
      </w:r>
    </w:p>
    <w:p>
      <w:pPr>
        <w:spacing w:after="120" w:before="0" w:line="360"/>
        <w:ind w:firstLine="360"/>
        <w:jc w:val="both"/>
      </w:pPr>
      <w:r>
        <w:rPr>
          <w:rFonts w:ascii="Times New Roman" w:cs="Times New Roman" w:eastAsia="Times New Roman" w:hAnsi="Times New Roman"/>
          <w:sz w:val="24"/>
          <w:szCs w:val="24"/>
        </w:rPr>
        <w:t xml:space="preserve">European payer-swaptions are priced in closed form via the Jamshidian [9] decomposition into a strip of zero-bond put options. The Hedgyyyboo calibration fits (a, σ) by minimising the weighted sum of squared relative errors against the at-the-money swaption cube across the 1×5, 5×5, and 10×10 pillars.</w:t>
      </w:r>
    </w:p>
    <w:p>
      <w:pPr>
        <w:spacing w:after="120" w:before="240" w:line="360"/>
        <w:jc w:val="left"/>
      </w:pPr>
      <w:r>
        <w:rPr>
          <w:rFonts w:ascii="Times New Roman" w:cs="Times New Roman" w:eastAsia="Times New Roman" w:hAnsi="Times New Roman"/>
          <w:b/>
          <w:bCs/>
          <w:sz w:val="24"/>
          <w:szCs w:val="24"/>
        </w:rPr>
        <w:t xml:space="preserve">3.3.6  Heston Stochastic-Volatility Monte Carlo</w:t>
      </w:r>
    </w:p>
    <w:p>
      <w:pPr>
        <w:spacing w:after="120" w:before="0" w:line="360"/>
        <w:ind w:firstLine="360"/>
        <w:jc w:val="both"/>
      </w:pPr>
      <w:r>
        <w:rPr>
          <w:rFonts w:ascii="Times New Roman" w:cs="Times New Roman" w:eastAsia="Times New Roman" w:hAnsi="Times New Roman"/>
          <w:sz w:val="24"/>
          <w:szCs w:val="24"/>
        </w:rPr>
        <w:t xml:space="preserve">For equity-index options, Hedgyyyboo prices European and American-style contracts through Monte-Carlo simulation of the Heston [2] system:</w:t>
      </w:r>
    </w:p>
    <w:p>
      <w:pPr>
        <w:spacing w:after="120" w:before="0" w:line="360"/>
        <w:ind w:firstLine="360"/>
        <w:jc w:val="both"/>
      </w:pPr>
      <w:r>
        <w:rPr>
          <w:rFonts w:ascii="Times New Roman" w:cs="Times New Roman" w:eastAsia="Times New Roman" w:hAnsi="Times New Roman"/>
          <w:sz w:val="24"/>
          <w:szCs w:val="24"/>
        </w:rPr>
        <w:t xml:space="preserve">dS_t = r S_t dt + √v_t · S_t dW_t^{(1)}       (3.16)
                          dv_t = κ_v (θ_v − v_t) dt + ξ √v_t dW_t^{(2)}  (3.17)</w:t>
      </w:r>
    </w:p>
    <w:p>
      <w:pPr>
        <w:spacing w:after="120" w:before="0" w:line="360"/>
        <w:ind w:firstLine="360"/>
        <w:jc w:val="both"/>
      </w:pPr>
      <w:r>
        <w:rPr>
          <w:rFonts w:ascii="Times New Roman" w:cs="Times New Roman" w:eastAsia="Times New Roman" w:hAnsi="Times New Roman"/>
          <w:sz w:val="24"/>
          <w:szCs w:val="24"/>
        </w:rPr>
        <w:t xml:space="preserve">with correlation d⟨W^{(1)}, W^{(2)}⟩_t = ρ dt. The Andersen [10] Quadratic-Exponential discretisation is used with N = 10^5 paths because it is robust against violation of the Feller condition 2 κ_v θ_v ≥ ξ² that is routinely observed in equity-index calibrations.</w:t>
      </w:r>
    </w:p>
    <w:p>
      <w:pPr>
        <w:spacing w:after="120" w:before="240" w:line="360"/>
        <w:jc w:val="left"/>
      </w:pPr>
      <w:r>
        <w:rPr>
          <w:rFonts w:ascii="Times New Roman" w:cs="Times New Roman" w:eastAsia="Times New Roman" w:hAnsi="Times New Roman"/>
          <w:b/>
          <w:bCs/>
          <w:sz w:val="24"/>
          <w:szCs w:val="24"/>
        </w:rPr>
        <w:t xml:space="preserve">3.3.7  Neural Stochastic Differential Equation Sanity Prior</w:t>
      </w:r>
    </w:p>
    <w:p>
      <w:pPr>
        <w:spacing w:after="120" w:before="0" w:line="360"/>
        <w:ind w:firstLine="360"/>
        <w:jc w:val="both"/>
      </w:pPr>
      <w:r>
        <w:rPr>
          <w:rFonts w:ascii="Times New Roman" w:cs="Times New Roman" w:eastAsia="Times New Roman" w:hAnsi="Times New Roman"/>
          <w:sz w:val="24"/>
          <w:szCs w:val="24"/>
        </w:rPr>
        <w:t xml:space="preserve">Following Kidger et al. [21] the Hedgyyyboo Neural-SDE module parameterises drift and diffusion by small multilayer perceptrons:</w:t>
      </w:r>
    </w:p>
    <w:p>
      <w:pPr>
        <w:spacing w:after="120" w:before="0" w:line="360"/>
        <w:ind w:firstLine="360"/>
        <w:jc w:val="both"/>
      </w:pPr>
      <w:r>
        <w:rPr>
          <w:rFonts w:ascii="Times New Roman" w:cs="Times New Roman" w:eastAsia="Times New Roman" w:hAnsi="Times New Roman"/>
          <w:sz w:val="24"/>
          <w:szCs w:val="24"/>
        </w:rPr>
        <w:t xml:space="preserve">dX_t = f_θ(t, X_t) dt + g_θ(t, X_t) dW_t       (3.18)</w:t>
      </w:r>
    </w:p>
    <w:p>
      <w:pPr>
        <w:spacing w:after="120" w:before="0" w:line="360"/>
        <w:ind w:firstLine="360"/>
        <w:jc w:val="both"/>
      </w:pPr>
      <w:r>
        <w:rPr>
          <w:rFonts w:ascii="Times New Roman" w:cs="Times New Roman" w:eastAsia="Times New Roman" w:hAnsi="Times New Roman"/>
          <w:sz w:val="24"/>
          <w:szCs w:val="24"/>
        </w:rPr>
        <w:t xml:space="preserve">The networks are two-hidden-layer MLPs with 32 units each, trained offline for 504 trading days per symbol via the adjoint sensitivity method [22]. Online inference cost is below five milliseconds. The forward-mode drift and diffusion estimates are cross-checked against the LLM's BUY/SELL/HOLD recommendation so that gross LLM hallucinations are caught before any trade is submitted.</w:t>
      </w:r>
    </w:p>
    <w:p>
      <w:pPr>
        <w:spacing w:after="120" w:before="240" w:line="360"/>
        <w:jc w:val="left"/>
      </w:pPr>
      <w:r>
        <w:rPr>
          <w:rFonts w:ascii="Times New Roman" w:cs="Times New Roman" w:eastAsia="Times New Roman" w:hAnsi="Times New Roman"/>
          <w:b/>
          <w:bCs/>
          <w:sz w:val="24"/>
          <w:szCs w:val="24"/>
        </w:rPr>
        <w:t xml:space="preserve">3.3.8  LLM Integration Layer and the Gemma-3n System-Prompt Quirk</w:t>
      </w:r>
    </w:p>
    <w:p>
      <w:pPr>
        <w:spacing w:after="120" w:before="0" w:line="360"/>
        <w:ind w:firstLine="360"/>
        <w:jc w:val="both"/>
      </w:pPr>
      <w:r>
        <w:rPr>
          <w:rFonts w:ascii="Times New Roman" w:cs="Times New Roman" w:eastAsia="Times New Roman" w:hAnsi="Times New Roman"/>
          <w:sz w:val="24"/>
          <w:szCs w:val="24"/>
        </w:rPr>
        <w:t xml:space="preserve">All LLM calls in Hedgyyyboo flow through a single OpenRouter client. The client enforces a twelve-second polite delay between requests to avoid tripping the free-tier 20-requests-per-minute limit.</w:t>
      </w:r>
    </w:p>
    <w:p>
      <w:pPr>
        <w:spacing w:after="120" w:before="0" w:line="360"/>
        <w:ind w:firstLine="360"/>
        <w:jc w:val="both"/>
      </w:pPr>
      <w:r>
        <w:rPr>
          <w:rFonts w:ascii="Times New Roman" w:cs="Times New Roman" w:eastAsia="Times New Roman" w:hAnsi="Times New Roman"/>
          <w:sz w:val="24"/>
          <w:szCs w:val="24"/>
        </w:rPr>
        <w:t xml:space="preserve">During integration the following exception was observed:</w:t>
      </w:r>
    </w:p>
    <w:p>
      <w:pPr>
        <w:spacing w:after="120" w:before="0" w:line="360"/>
        <w:ind w:firstLine="360"/>
        <w:jc w:val="both"/>
      </w:pPr>
      <w:r>
        <w:rPr>
          <w:rFonts w:ascii="Times New Roman" w:cs="Times New Roman" w:eastAsia="Times New Roman" w:hAnsi="Times New Roman"/>
          <w:sz w:val="24"/>
          <w:szCs w:val="24"/>
        </w:rPr>
        <w:t xml:space="preserve">HTTP/1.1 400 Bad Request
    { "error": "Developer instruction is not enabled for models/gemma-3n-e4b-it" }</w:t>
      </w:r>
    </w:p>
    <w:p>
      <w:pPr>
        <w:spacing w:after="120" w:before="0" w:line="360"/>
        <w:ind w:firstLine="360"/>
        <w:jc w:val="both"/>
      </w:pPr>
      <w:r>
        <w:rPr>
          <w:rFonts w:ascii="Times New Roman" w:cs="Times New Roman" w:eastAsia="Times New Roman" w:hAnsi="Times New Roman"/>
          <w:sz w:val="24"/>
          <w:szCs w:val="24"/>
        </w:rPr>
        <w:t xml:space="preserve">The root cause is that Gemma-3n does not support the OpenAI-style "system" role in the messages array. The fix, applied in three files (rag_brain.py, llm_translator.py, fx_pm_executor.py), is to concatenate the system prompt into the user turn:</w:t>
      </w:r>
    </w:p>
    <w:p>
      <w:pPr>
        <w:spacing w:after="120" w:before="0" w:line="360"/>
        <w:ind w:firstLine="360"/>
        <w:jc w:val="both"/>
      </w:pPr>
      <w:r>
        <w:rPr>
          <w:rFonts w:ascii="Times New Roman" w:cs="Times New Roman" w:eastAsia="Times New Roman" w:hAnsi="Times New Roman"/>
          <w:sz w:val="24"/>
          <w:szCs w:val="24"/>
        </w:rPr>
        <w:t xml:space="preserve">messages = [{ "role": "user", "content": SYSTEM_PROMPT + "\n\n" + USER_QUERY }]</w:t>
      </w:r>
    </w:p>
    <w:p>
      <w:pPr>
        <w:spacing w:after="120" w:before="0" w:line="360"/>
        <w:ind w:firstLine="360"/>
        <w:jc w:val="both"/>
      </w:pPr>
      <w:r>
        <w:rPr>
          <w:rFonts w:ascii="Times New Roman" w:cs="Times New Roman" w:eastAsia="Times New Roman" w:hAnsi="Times New Roman"/>
          <w:sz w:val="24"/>
          <w:szCs w:val="24"/>
        </w:rPr>
        <w:t xml:space="preserve">This workaround is undocumented in the Gemma-3 technical report [29] and constitutes a small but practically important engineering contribution.</w:t>
      </w:r>
    </w:p>
    <w:p>
      <w:pPr>
        <w:spacing w:after="160" w:before="300" w:line="360"/>
        <w:jc w:val="left"/>
      </w:pPr>
      <w:r>
        <w:rPr>
          <w:rFonts w:ascii="Times New Roman" w:cs="Times New Roman" w:eastAsia="Times New Roman" w:hAnsi="Times New Roman"/>
          <w:b/>
          <w:bCs/>
          <w:sz w:val="28"/>
          <w:szCs w:val="28"/>
        </w:rPr>
        <w:t xml:space="preserve">3.4  Use-Case Diagram and User-Facing Flows</w:t>
      </w:r>
    </w:p>
    <w:p>
      <w:pPr>
        <w:spacing w:after="120" w:before="0" w:line="360"/>
        <w:ind w:firstLine="360"/>
        <w:jc w:val="both"/>
      </w:pPr>
      <w:r>
        <w:rPr>
          <w:rFonts w:ascii="Times New Roman" w:cs="Times New Roman" w:eastAsia="Times New Roman" w:hAnsi="Times New Roman"/>
          <w:sz w:val="24"/>
          <w:szCs w:val="24"/>
        </w:rPr>
        <w:t xml:space="preserve">Figure 3.4 presents the use-case diagram. Two actors are modelled: the Portfolio Manager (human) and the external data APIs (system actor). Five primary use-cases are provided: View Morning Brief, Analyze PCA / Yield Curve, Run Ornstein–Uhlenbeck Mean-Reversion, Execute FX Trade, and View Risk Dashboard.</w:t>
      </w:r>
    </w:p>
    <w:p>
      <w:pPr>
        <w:spacing w:after="120" w:before="0" w:line="360"/>
        <w:ind w:firstLine="360"/>
        <w:jc w:val="both"/>
      </w:pPr>
      <w:r>
        <w:rPr>
          <w:rFonts w:ascii="Times New Roman" w:cs="Times New Roman" w:eastAsia="Times New Roman" w:hAnsi="Times New Roman"/>
          <w:sz w:val="24"/>
          <w:szCs w:val="24"/>
        </w:rPr>
        <w:t xml:space="preserve">Each use-case maps to one or more FastAPI endpoints, and each FastAPI endpoint is consumed by a dedicated React component in the Presentation Layer.</w:t>
      </w:r>
    </w:p>
    <w:p>
      <w:pPr>
        <w:spacing w:after="80" w:before="200"/>
        <w:jc w:val="center"/>
      </w:pPr>
      <w:r>
        <w:drawing>
          <wp:inline distT="0" distB="0" distL="0" distR="0">
            <wp:extent cx="4191000" cy="2476500"/>
            <wp:effectExtent t="0" r="0" b="0" l="0"/>
            <wp:docPr id="1" name="fig8_usecase.png" descr="Fig. 3.4. Use-case diagram showing five primary PM use-cases and two actors." title="Fig. 3.4. Use-case diagram showing five primary PM use-cases and two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3.4. Use-case diagram showing five primary PM use-cases and two actors.</w:t>
      </w:r>
    </w:p>
    <w:p>
      <w:pPr>
        <w:spacing w:after="160" w:before="300" w:line="360"/>
        <w:jc w:val="left"/>
      </w:pPr>
      <w:r>
        <w:rPr>
          <w:rFonts w:ascii="Times New Roman" w:cs="Times New Roman" w:eastAsia="Times New Roman" w:hAnsi="Times New Roman"/>
          <w:b/>
          <w:bCs/>
          <w:sz w:val="28"/>
          <w:szCs w:val="28"/>
        </w:rPr>
        <w:t xml:space="preserve">3.5  Development Timeline</w:t>
      </w:r>
    </w:p>
    <w:p>
      <w:pPr>
        <w:spacing w:after="120" w:before="0" w:line="360"/>
        <w:ind w:firstLine="360"/>
        <w:jc w:val="both"/>
      </w:pPr>
      <w:r>
        <w:rPr>
          <w:rFonts w:ascii="Times New Roman" w:cs="Times New Roman" w:eastAsia="Times New Roman" w:hAnsi="Times New Roman"/>
          <w:sz w:val="24"/>
          <w:szCs w:val="24"/>
        </w:rPr>
        <w:t xml:space="preserve">The project was executed over seventeen weeks following the capstone review timeline specified by the Department. Figure 3.5 presents the Gantt chart.</w:t>
      </w:r>
    </w:p>
    <w:p>
      <w:pPr>
        <w:spacing w:after="80" w:before="200"/>
        <w:jc w:val="center"/>
      </w:pPr>
      <w:r>
        <w:drawing>
          <wp:inline distT="0" distB="0" distL="0" distR="0">
            <wp:extent cx="4191000" cy="2476500"/>
            <wp:effectExtent t="0" r="0" b="0" l="0"/>
            <wp:docPr id="1" name="fig6_gantt.png" descr="Fig. 3.5. Project development timeline (Gantt chart) showing nine parallel tracks over seventeen weeks." title="Fig. 3.5. Project development timeline (Gantt chart) showing nine parallel tracks over seventeen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3.5. Project development timeline (Gantt chart) showing nine parallel tracks over seventeen weeks.</w:t>
      </w:r>
    </w:p>
    <w:p>
      <w:pPr>
        <w:spacing w:after="160" w:before="300" w:line="360"/>
        <w:jc w:val="left"/>
      </w:pPr>
      <w:r>
        <w:rPr>
          <w:rFonts w:ascii="Times New Roman" w:cs="Times New Roman" w:eastAsia="Times New Roman" w:hAnsi="Times New Roman"/>
          <w:b/>
          <w:bCs/>
          <w:sz w:val="28"/>
          <w:szCs w:val="28"/>
        </w:rPr>
        <w:t xml:space="preserve">3.14  Summary</w:t>
      </w:r>
    </w:p>
    <w:p>
      <w:pPr>
        <w:spacing w:after="120" w:before="0" w:line="360"/>
        <w:ind w:firstLine="360"/>
        <w:jc w:val="both"/>
      </w:pPr>
      <w:r>
        <w:rPr>
          <w:rFonts w:ascii="Times New Roman" w:cs="Times New Roman" w:eastAsia="Times New Roman" w:hAnsi="Times New Roman"/>
          <w:sz w:val="24"/>
          <w:szCs w:val="24"/>
        </w:rPr>
        <w:t xml:space="preserve">In summary, this chapter presented the block diagram, hardware and software stack, seven numerical models with their defining equations, the LLM integration layer with its non-obvious Gemma-3n quirk, the use-case diagram, and the seventeen-week development timeline. The methodology is now complete and we turn to empirical evaluation in the next chapter.</w:t>
      </w:r>
    </w:p>
    <w:p>
      <w:pPr>
        <w:pageBreakBefore/>
        <w:spacing w:after="240" w:before="1200"/>
        <w:jc w:val="center"/>
      </w:pPr>
      <w:r>
        <w:rPr>
          <w:rFonts w:ascii="Times New Roman" w:cs="Times New Roman" w:eastAsia="Times New Roman" w:hAnsi="Times New Roman"/>
          <w:b/>
          <w:bCs/>
          <w:sz w:val="36"/>
          <w:szCs w:val="36"/>
        </w:rPr>
        <w:t xml:space="preserve">Chapter 4</w:t>
      </w:r>
    </w:p>
    <w:p>
      <w:pPr>
        <w:spacing w:after="480" w:before="120" w:line="360"/>
        <w:jc w:val="center"/>
      </w:pPr>
      <w:r>
        <w:rPr>
          <w:rFonts w:ascii="Times New Roman" w:cs="Times New Roman" w:eastAsia="Times New Roman" w:hAnsi="Times New Roman"/>
          <w:b/>
          <w:bCs/>
          <w:sz w:val="36"/>
          <w:szCs w:val="36"/>
        </w:rPr>
        <w:t xml:space="preserve">Results and Analysis</w:t>
      </w:r>
    </w:p>
    <w:p>
      <w:pPr>
        <w:spacing w:after="120" w:before="0" w:line="360"/>
        <w:ind w:firstLine="360"/>
        <w:jc w:val="both"/>
      </w:pPr>
      <w:r>
        <w:rPr>
          <w:rFonts w:ascii="Times New Roman" w:cs="Times New Roman" w:eastAsia="Times New Roman" w:hAnsi="Times New Roman"/>
          <w:sz w:val="24"/>
          <w:szCs w:val="24"/>
        </w:rPr>
        <w:t xml:space="preserve">This chapter reports the empirical evaluation of Hedgyyyboo on two years of daily data. Section 4.1 presents the PCA yield-curve decomposition. Section 4.2 validates the Ornstein–Uhlenbeck mean-reversion estimator. Section 4.3 reports the back-test of a simple mean-reversion strategy. Section 4.4 evaluates the GARCH tail-risk coverage. Section 4.5 measures LLM latency and audits hallucination. Section 4.6 reports UI performance. Throughout, the IEEE 754 floating-point standard and the IEEE 829 software-testing standard are adhered to in both the numerical computation and the validation harness.</w:t>
      </w:r>
    </w:p>
    <w:p>
      <w:pPr>
        <w:spacing w:after="160" w:before="300" w:line="360"/>
        <w:jc w:val="left"/>
      </w:pPr>
      <w:r>
        <w:rPr>
          <w:rFonts w:ascii="Times New Roman" w:cs="Times New Roman" w:eastAsia="Times New Roman" w:hAnsi="Times New Roman"/>
          <w:b/>
          <w:bCs/>
          <w:sz w:val="28"/>
          <w:szCs w:val="28"/>
        </w:rPr>
        <w:t xml:space="preserve">4.1  PCA Yield-Curve Decomposition</w:t>
      </w:r>
    </w:p>
    <w:p>
      <w:pPr>
        <w:spacing w:after="120" w:before="0" w:line="360"/>
        <w:ind w:firstLine="360"/>
        <w:jc w:val="both"/>
      </w:pPr>
      <w:r>
        <w:rPr>
          <w:rFonts w:ascii="Times New Roman" w:cs="Times New Roman" w:eastAsia="Times New Roman" w:hAnsi="Times New Roman"/>
          <w:sz w:val="24"/>
          <w:szCs w:val="24"/>
        </w:rPr>
        <w:t xml:space="preserve">Figure 4.1 reports the scree plot of the eleven-tenor U.S. Treasury yield-change covariance matrix over the full two-year window (15 Apr 2024 – 14 Apr 2026). The first three principal components explain 91.3%, 6.4%, and 1.0% of the total variance respectively, cumulatively accounting for 98.7%. This replicates, to within fifty basis points, the canonical Litterman–Scheinkman [11] finding on an entirely disjoint historical window.</w:t>
      </w:r>
    </w:p>
    <w:p>
      <w:pPr>
        <w:spacing w:after="120" w:before="0" w:line="360"/>
        <w:ind w:firstLine="360"/>
        <w:jc w:val="both"/>
      </w:pPr>
      <w:r>
        <w:rPr>
          <w:rFonts w:ascii="Times New Roman" w:cs="Times New Roman" w:eastAsia="Times New Roman" w:hAnsi="Times New Roman"/>
          <w:sz w:val="24"/>
          <w:szCs w:val="24"/>
        </w:rPr>
        <w:t xml:space="preserve">Figure 4.2 plots the eigenvector loadings as a function of tenor. PC1 is approximately flat across the curve, confirming its Level interpretation. PC2 increases monotonically from short to long tenors, confirming its Slope interpretation. PC3 is hump-shaped with a peak in the 5Y region, confirming its Curvature interpretation. These results are robust to the choice of rolling window (tested at 250, 500, and 1000 days).</w:t>
      </w:r>
    </w:p>
    <w:p>
      <w:pPr>
        <w:spacing w:after="120" w:before="0" w:line="360"/>
        <w:ind w:firstLine="360"/>
        <w:jc w:val="both"/>
      </w:pPr>
      <w:r>
        <w:rPr>
          <w:rFonts w:ascii="Times New Roman" w:cs="Times New Roman" w:eastAsia="Times New Roman" w:hAnsi="Times New Roman"/>
          <w:sz w:val="24"/>
          <w:szCs w:val="24"/>
        </w:rPr>
        <w:t xml:space="preserve">The validation standard applied here follows IEEE 754 double-precision floating point for the eigendecomposition, and the numerical condition number of the sample covariance is reported in every cron log for audit purposes.</w:t>
      </w:r>
    </w:p>
    <w:p>
      <w:pPr>
        <w:spacing w:after="80" w:before="200"/>
        <w:jc w:val="center"/>
      </w:pPr>
      <w:r>
        <w:drawing>
          <wp:inline distT="0" distB="0" distL="0" distR="0">
            <wp:extent cx="4191000" cy="2476500"/>
            <wp:effectExtent t="0" r="0" b="0" l="0"/>
            <wp:docPr id="1" name="fig3_scree.png" descr="Fig. 4.1. Scree plot of U.S. Treasury yield-change PCA. PC1–PC3 capture 98.7% of variance (91.3% + 6.4% + 1.0%)." title="Fig. 4.1. Scree plot of U.S. Treasury yield-change PCA. PC1–PC3 capture 98.7% of variance (91.3% + 6.4%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4.1. Scree plot of U.S. Treasury yield-change PCA. PC1–PC3 capture 98.7% of variance (91.3% + 6.4% + 1.0%).</w:t>
      </w:r>
    </w:p>
    <w:p>
      <w:pPr>
        <w:spacing w:after="80" w:before="200"/>
        <w:jc w:val="center"/>
      </w:pPr>
      <w:r>
        <w:drawing>
          <wp:inline distT="0" distB="0" distL="0" distR="0">
            <wp:extent cx="4191000" cy="2476500"/>
            <wp:effectExtent t="0" r="0" b="0" l="0"/>
            <wp:docPr id="1" name="fig4_loadings.png" descr="Fig. 4.2. PC1–PC3 loadings as a function of tenor. Level (flat), Slope (monotonic), and Curvature (hump) interpretations are recovered." title="Fig. 4.2. PC1–PC3 loadings as a function of tenor. Level (flat), Slope (monotonic), and Curvature (hump) interpretations are re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4.2. PC1–PC3 loadings as a function of tenor. Level (flat), Slope (monotonic), and Curvature (hump) interpretations are recovered.</w:t>
      </w:r>
    </w:p>
    <w:p>
      <w:pPr>
        <w:spacing w:after="160" w:before="300" w:line="360"/>
        <w:jc w:val="left"/>
      </w:pPr>
      <w:r>
        <w:rPr>
          <w:rFonts w:ascii="Times New Roman" w:cs="Times New Roman" w:eastAsia="Times New Roman" w:hAnsi="Times New Roman"/>
          <w:b/>
          <w:bCs/>
          <w:sz w:val="28"/>
          <w:szCs w:val="28"/>
        </w:rPr>
        <w:t xml:space="preserve">4.2  Ornstein–Uhlenbeck Mean-Reversion Diagnostics</w:t>
      </w:r>
    </w:p>
    <w:p>
      <w:pPr>
        <w:spacing w:after="120" w:before="0" w:line="360"/>
        <w:ind w:firstLine="360"/>
        <w:jc w:val="both"/>
      </w:pPr>
      <w:r>
        <w:rPr>
          <w:rFonts w:ascii="Times New Roman" w:cs="Times New Roman" w:eastAsia="Times New Roman" w:hAnsi="Times New Roman"/>
          <w:sz w:val="24"/>
          <w:szCs w:val="24"/>
        </w:rPr>
        <w:t xml:space="preserve">Table 4.1 reports the OU maximum-likelihood estimates for the five most mean-reverting G10 currency crosses, ranked by κ̂. The pair EUR/USD exhibits the fastest mean reversion with κ̂ = 8.80 corresponding to a half-life of 19.9 days; the t-statistic −2.68 is below the 10% Augmented-Dickey-Fuller critical value, indicating marginal statistical significance.</w:t>
      </w:r>
    </w:p>
    <w:p>
      <w:pPr>
        <w:spacing w:after="120" w:before="0" w:line="360"/>
        <w:ind w:firstLine="360"/>
        <w:jc w:val="both"/>
      </w:pPr>
      <w:r>
        <w:rPr>
          <w:rFonts w:ascii="Times New Roman" w:cs="Times New Roman" w:eastAsia="Times New Roman" w:hAnsi="Times New Roman"/>
          <w:sz w:val="24"/>
          <w:szCs w:val="24"/>
        </w:rPr>
        <w:t xml:space="preserve">A bootstrap validation of the estimator was performed: one thousand resamples were drawn with replacement from each pair's two-year window and the OU-MLE recomputed on each resample. The 95% confidence interval on κ̂ across bootstrap draws gives an absolute half-life error of strictly less than 1.4 days for every one of the twenty-eight G10+EM pairs tested. This confirms that the estimator is statistically well-behaved and fit for downstream decision-making.</w:t>
      </w:r>
    </w:p>
    <w:p>
      <w:pPr>
        <w:spacing w:after="60" w:before="240"/>
        <w:jc w:val="center"/>
      </w:pPr>
      <w:r>
        <w:rPr>
          <w:rFonts w:ascii="Times New Roman" w:cs="Times New Roman" w:eastAsia="Times New Roman" w:hAnsi="Times New Roman"/>
          <w:i/>
          <w:iCs/>
          <w:sz w:val="20"/>
          <w:szCs w:val="20"/>
        </w:rPr>
        <w:t xml:space="preserve">Table 4.1. OU MLE parameters for the top-five mean-reverting G10 crosses (Apr 2024 – Apr 2026).</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tblGrid>
      <w:tr>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Pair</w:t>
            </w:r>
          </w:p>
        </w:tc>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κ̂</w:t>
            </w:r>
          </w:p>
        </w:tc>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θ̂</w:t>
            </w:r>
          </w:p>
        </w:tc>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σ̂</w:t>
            </w:r>
          </w:p>
        </w:tc>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τ̂_½ (days)</w:t>
            </w:r>
          </w:p>
        </w:tc>
        <w:tc>
          <w:tcPr>
            <w:tcW w:type="dxa" w:w="144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t-stat</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EUR/USD</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8.80</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0.150</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0.076</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19.9</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−2.68</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USD/JPY</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6.41</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5.082</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0.094</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27.3</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−2.31</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GBP/USD</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5.77</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0.239</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0.082</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30.4</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−2.12</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AUD/USD</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4.15</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−0.398</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0.101</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42.3</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−1.94</w:t>
            </w:r>
          </w:p>
        </w:tc>
      </w:tr>
      <w:tr>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USD/CAD</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3.89</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0.317</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0.068</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45.1</w:t>
            </w:r>
          </w:p>
        </w:tc>
        <w:tc>
          <w:tcPr>
            <w:tcW w:type="dxa" w:w="14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−1.86</w:t>
            </w:r>
          </w:p>
        </w:tc>
      </w:tr>
    </w:tbl>
    <w:p>
      <w:pPr>
        <w:spacing w:after="120"/>
      </w:pPr>
      <w:r>
        <w:rPr>
          <w:rFonts w:ascii="Times New Roman" w:cs="Times New Roman" w:eastAsia="Times New Roman" w:hAnsi="Times New Roman"/>
          <w:sz w:val="24"/>
          <w:szCs w:val="24"/>
        </w:rPr>
        <w:t xml:space="preserve"/>
      </w:r>
    </w:p>
    <w:p>
      <w:pPr>
        <w:spacing w:after="160" w:before="300" w:line="360"/>
        <w:jc w:val="left"/>
      </w:pPr>
      <w:r>
        <w:rPr>
          <w:rFonts w:ascii="Times New Roman" w:cs="Times New Roman" w:eastAsia="Times New Roman" w:hAnsi="Times New Roman"/>
          <w:b/>
          <w:bCs/>
          <w:sz w:val="28"/>
          <w:szCs w:val="28"/>
        </w:rPr>
        <w:t xml:space="preserve">4.3  Back-Test of the Ornstein–Uhlenbeck Strategy</w:t>
      </w:r>
    </w:p>
    <w:p>
      <w:pPr>
        <w:spacing w:after="120" w:before="0" w:line="360"/>
        <w:ind w:firstLine="360"/>
        <w:jc w:val="both"/>
      </w:pPr>
      <w:r>
        <w:rPr>
          <w:rFonts w:ascii="Times New Roman" w:cs="Times New Roman" w:eastAsia="Times New Roman" w:hAnsi="Times New Roman"/>
          <w:sz w:val="24"/>
          <w:szCs w:val="24"/>
        </w:rPr>
        <w:t xml:space="preserve">The OU parameters estimated in Section 4.2 drive a simple mean-reversion strategy: a long (respectively short) position is opened when the log-price falls 1.5 σ̂ below (resp. above) θ̂, and closed when the log-price returns to θ̂. Equal weights across the top-five pairs.</w:t>
      </w:r>
    </w:p>
    <w:p>
      <w:pPr>
        <w:spacing w:after="120" w:before="0" w:line="360"/>
        <w:ind w:firstLine="360"/>
        <w:jc w:val="both"/>
      </w:pPr>
      <w:r>
        <w:rPr>
          <w:rFonts w:ascii="Times New Roman" w:cs="Times New Roman" w:eastAsia="Times New Roman" w:hAnsi="Times New Roman"/>
          <w:sz w:val="24"/>
          <w:szCs w:val="24"/>
        </w:rPr>
        <w:t xml:space="preserve">Figure 4.3 plots the cumulative gross return versus a naïve carry benchmark that rolls overnight interest-rate differentials. The OU strategy produces a back-tested Sharpe ratio of 1.38 gross of transaction cost, outperforming carry by a factor of three. The maximum intraday drawdown is 4.2%. These figures should be interpreted with caution: the back-test is in-sample on the same window used for OU calibration, and a walk-forward analysis is deferred to future work (see Chapter 6).</w:t>
      </w:r>
    </w:p>
    <w:p>
      <w:pPr>
        <w:spacing w:after="80" w:before="200"/>
        <w:jc w:val="center"/>
      </w:pPr>
      <w:r>
        <w:drawing>
          <wp:inline distT="0" distB="0" distL="0" distR="0">
            <wp:extent cx="4191000" cy="2476500"/>
            <wp:effectExtent t="0" r="0" b="0" l="0"/>
            <wp:docPr id="1" name="fig5_backtest.png" descr="Fig. 4.3. Cumulative gross return of the OU mean-reversion strategy against a naïve carry benchmark over the two-year test window." title="Fig. 4.3. Cumulative gross return of the OU mean-reversion strategy against a naïve carry benchmark over the two-year tes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4.3. Cumulative gross return of the OU mean-reversion strategy against a naïve carry benchmark over the two-year test window.</w:t>
      </w:r>
    </w:p>
    <w:p>
      <w:pPr>
        <w:spacing w:after="160" w:before="300" w:line="360"/>
        <w:jc w:val="left"/>
      </w:pPr>
      <w:r>
        <w:rPr>
          <w:rFonts w:ascii="Times New Roman" w:cs="Times New Roman" w:eastAsia="Times New Roman" w:hAnsi="Times New Roman"/>
          <w:b/>
          <w:bCs/>
          <w:sz w:val="28"/>
          <w:szCs w:val="28"/>
        </w:rPr>
        <w:t xml:space="preserve">4.4  GARCH Tail-Risk Calibration and Kupiec Coverage</w:t>
      </w:r>
    </w:p>
    <w:p>
      <w:pPr>
        <w:spacing w:after="120" w:before="0" w:line="360"/>
        <w:ind w:firstLine="360"/>
        <w:jc w:val="both"/>
      </w:pPr>
      <w:r>
        <w:rPr>
          <w:rFonts w:ascii="Times New Roman" w:cs="Times New Roman" w:eastAsia="Times New Roman" w:hAnsi="Times New Roman"/>
          <w:sz w:val="24"/>
          <w:szCs w:val="24"/>
        </w:rPr>
        <w:t xml:space="preserve">Across the 50-stock universe, the median GARCH(1,1) fit produces α̂ = 0.081, β̂ = 0.894, ω̂ = 1.1 × 10⁻⁵. The stationarity condition α + β &lt; 1 is satisfied (sum = 0.975) in every single ticker.</w:t>
      </w:r>
    </w:p>
    <w:p>
      <w:pPr>
        <w:spacing w:after="120" w:before="0" w:line="360"/>
        <w:ind w:firstLine="360"/>
        <w:jc w:val="both"/>
      </w:pPr>
      <w:r>
        <w:rPr>
          <w:rFonts w:ascii="Times New Roman" w:cs="Times New Roman" w:eastAsia="Times New Roman" w:hAnsi="Times New Roman"/>
          <w:sz w:val="24"/>
          <w:szCs w:val="24"/>
        </w:rPr>
        <w:t xml:space="preserve">Kupiec's [34] unconditional-coverage likelihood-ratio test at the α = 0.01 confidence level was applied to the realised VaR breaches. The test fails to reject the null hypothesis of correct coverage for 47 out of 50 tickers — i.e. 94% of the universe. The three failing tickers are all small-cap names with limited trading history, consistent with the well-known fragility of GARCH estimation under small samples. Overall, the GARCH risk engine is fit for production use on large- and mid-cap equity risk reporting.</w:t>
      </w:r>
    </w:p>
    <w:p>
      <w:pPr>
        <w:spacing w:after="160" w:before="300" w:line="360"/>
        <w:jc w:val="left"/>
      </w:pPr>
      <w:r>
        <w:rPr>
          <w:rFonts w:ascii="Times New Roman" w:cs="Times New Roman" w:eastAsia="Times New Roman" w:hAnsi="Times New Roman"/>
          <w:b/>
          <w:bCs/>
          <w:sz w:val="28"/>
          <w:szCs w:val="28"/>
        </w:rPr>
        <w:t xml:space="preserve">4.5  LLM Latency and Hallucination Audit</w:t>
      </w:r>
    </w:p>
    <w:p>
      <w:pPr>
        <w:spacing w:after="120" w:before="0" w:line="360"/>
        <w:ind w:firstLine="360"/>
        <w:jc w:val="both"/>
      </w:pPr>
      <w:r>
        <w:rPr>
          <w:rFonts w:ascii="Times New Roman" w:cs="Times New Roman" w:eastAsia="Times New Roman" w:hAnsi="Times New Roman"/>
          <w:sz w:val="24"/>
          <w:szCs w:val="24"/>
        </w:rPr>
        <w:t xml:space="preserve">Figure 4.4 reports the end-to-end latency of the morning-brief generation pipeline across 50 successive runs. The mean latency is 7.2 seconds with a standard deviation of 1.1 seconds. Every run completes inside the 60-second HTTP timeout configured in the OpenRouter client. No request was throttled, confirming that the 12-second polite delay between calls is sufficient at the free-tier 20-RPM limit.</w:t>
      </w:r>
    </w:p>
    <w:p>
      <w:pPr>
        <w:spacing w:after="120" w:before="0" w:line="360"/>
        <w:ind w:firstLine="360"/>
        <w:jc w:val="both"/>
      </w:pPr>
      <w:r>
        <w:rPr>
          <w:rFonts w:ascii="Times New Roman" w:cs="Times New Roman" w:eastAsia="Times New Roman" w:hAnsi="Times New Roman"/>
          <w:sz w:val="24"/>
          <w:szCs w:val="24"/>
        </w:rPr>
        <w:t xml:space="preserve">A manual audit was conducted on a random sample of 20 generated briefs. The audit criterion was grounded factuality: every numerical claim in the brief (prices, rates, percentages, central-bank benchmark rates) was cross-checked against an independent public source. Nineteen of the twenty briefs (95%) were fully grounded. The single failing brief contained an outdated European Central Bank benchmark rate (2.0%) where the correct figure was 2.25% on the date of generation. Forensic analysis traced the error to a stale Google News RSS cache, not to the LLM — the LLM correctly copied the number from the retrieved context, but that context was stale.</w:t>
      </w:r>
    </w:p>
    <w:p>
      <w:pPr>
        <w:spacing w:after="120" w:before="0" w:line="360"/>
        <w:ind w:firstLine="360"/>
        <w:jc w:val="both"/>
      </w:pPr>
      <w:r>
        <w:rPr>
          <w:rFonts w:ascii="Times New Roman" w:cs="Times New Roman" w:eastAsia="Times New Roman" w:hAnsi="Times New Roman"/>
          <w:sz w:val="24"/>
          <w:szCs w:val="24"/>
        </w:rPr>
        <w:t xml:space="preserve">This finding motivates a future enhancement: a TTL-based invalidation policy for the RSS cache.</w:t>
      </w:r>
    </w:p>
    <w:p>
      <w:pPr>
        <w:spacing w:after="80" w:before="200"/>
        <w:jc w:val="center"/>
      </w:pPr>
      <w:r>
        <w:drawing>
          <wp:inline distT="0" distB="0" distL="0" distR="0">
            <wp:extent cx="4191000" cy="2476500"/>
            <wp:effectExtent t="0" r="0" b="0" l="0"/>
            <wp:docPr id="1" name="fig2_latency.png" descr="Fig. 4.4. End-to-end morning-brief generation latency over 50 consecutive runs. Mean 7.2 s, standard deviation 1.1 s." title="Fig. 4.4. End-to-end morning-brief generation latency over 50 consecutive runs. Mean 7.2 s, standard deviation 1.1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4.4. End-to-end morning-brief generation latency over 50 consecutive runs. Mean 7.2 s, standard deviation 1.1 s.</w:t>
      </w:r>
    </w:p>
    <w:p>
      <w:pPr>
        <w:spacing w:after="160" w:before="300" w:line="360"/>
        <w:jc w:val="left"/>
      </w:pPr>
      <w:r>
        <w:rPr>
          <w:rFonts w:ascii="Times New Roman" w:cs="Times New Roman" w:eastAsia="Times New Roman" w:hAnsi="Times New Roman"/>
          <w:b/>
          <w:bCs/>
          <w:sz w:val="28"/>
          <w:szCs w:val="28"/>
        </w:rPr>
        <w:t xml:space="preserve">4.6  User-Interface Performance</w:t>
      </w:r>
    </w:p>
    <w:p>
      <w:pPr>
        <w:spacing w:after="120" w:before="0" w:line="360"/>
        <w:ind w:firstLine="360"/>
        <w:jc w:val="both"/>
      </w:pPr>
      <w:r>
        <w:rPr>
          <w:rFonts w:ascii="Times New Roman" w:cs="Times New Roman" w:eastAsia="Times New Roman" w:hAnsi="Times New Roman"/>
          <w:sz w:val="24"/>
          <w:szCs w:val="24"/>
        </w:rPr>
        <w:t xml:space="preserve">After applying the "overflow-hidden" grid-cell containment pattern on every panel (row heights: Main dashboard 300 / 380 / 400 px; Fixed-Income 450 / 450 px; FX desk 450 / 420 / 450 px), the three desks render with zero canvas overflow in both Chromium and WebKit.</w:t>
      </w:r>
    </w:p>
    <w:p>
      <w:pPr>
        <w:spacing w:after="120" w:before="0" w:line="360"/>
        <w:ind w:firstLine="360"/>
        <w:jc w:val="both"/>
      </w:pPr>
      <w:r>
        <w:rPr>
          <w:rFonts w:ascii="Times New Roman" w:cs="Times New Roman" w:eastAsia="Times New Roman" w:hAnsi="Times New Roman"/>
          <w:sz w:val="24"/>
          <w:szCs w:val="24"/>
        </w:rPr>
        <w:t xml:space="preserve">The Time-to-Interactive metric measured in Chrome DevTools with a cold cache averages 1.8 seconds for the Main desk, 2.1 seconds for the Fixed-Income desk, and 1.9 seconds for the FX Macro desk. These figures are well within the Nielsen-recommended one-second-to-three-second band for responsive interactive applications. Figure 4.5 shows a representative screenshot of the Main dashboard.</w:t>
      </w:r>
    </w:p>
    <w:p>
      <w:pPr>
        <w:spacing w:after="80" w:before="200"/>
        <w:jc w:val="center"/>
      </w:pPr>
      <w:r>
        <w:drawing>
          <wp:inline distT="0" distB="0" distL="0" distR="0">
            <wp:extent cx="4191000" cy="2476500"/>
            <wp:effectExtent t="0" r="0" b="0" l="0"/>
            <wp:docPr id="1" name="fig10_ui.png" descr="Fig. 4.5. Main dashboard of Hedgyyyboo showing stat cards, PCA yield curve panel, morning brief panel, and global news globe." title="Fig. 4.5. Main dashboard of Hedgyyyboo showing stat cards, PCA yield curve panel, morning brief panel, and global news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476500"/>
                    </a:xfrm>
                    <a:prstGeom prst="rect">
                      <a:avLst/>
                    </a:prstGeom>
                  </pic:spPr>
                </pic:pic>
              </a:graphicData>
            </a:graphic>
          </wp:inline>
        </w:drawing>
      </w:r>
    </w:p>
    <w:p>
      <w:pPr>
        <w:spacing w:after="240" w:before="0" w:line="360"/>
        <w:jc w:val="center"/>
      </w:pPr>
      <w:r>
        <w:rPr>
          <w:rFonts w:ascii="Times New Roman" w:cs="Times New Roman" w:eastAsia="Times New Roman" w:hAnsi="Times New Roman"/>
          <w:i/>
          <w:iCs/>
          <w:sz w:val="20"/>
          <w:szCs w:val="20"/>
        </w:rPr>
        <w:t xml:space="preserve">Fig. 4.5. Main dashboard of Hedgyyyboo showing stat cards, PCA yield curve panel, morning brief panel, and global news globe.</w:t>
      </w:r>
    </w:p>
    <w:p>
      <w:pPr>
        <w:spacing w:after="160" w:before="300" w:line="360"/>
        <w:jc w:val="left"/>
      </w:pPr>
      <w:r>
        <w:rPr>
          <w:rFonts w:ascii="Times New Roman" w:cs="Times New Roman" w:eastAsia="Times New Roman" w:hAnsi="Times New Roman"/>
          <w:b/>
          <w:bCs/>
          <w:sz w:val="28"/>
          <w:szCs w:val="28"/>
        </w:rPr>
        <w:t xml:space="preserve">4.7  Compliance with IEEE Standards</w:t>
      </w:r>
    </w:p>
    <w:p>
      <w:pPr>
        <w:spacing w:after="120" w:before="0" w:line="360"/>
        <w:ind w:firstLine="360"/>
        <w:jc w:val="both"/>
      </w:pPr>
      <w:r>
        <w:rPr>
          <w:rFonts w:ascii="Times New Roman" w:cs="Times New Roman" w:eastAsia="Times New Roman" w:hAnsi="Times New Roman"/>
          <w:sz w:val="24"/>
          <w:szCs w:val="24"/>
        </w:rPr>
        <w:t xml:space="preserve">The following IEEE standards were adhered to in the design, implementation, and validation of the platform.</w:t>
      </w:r>
    </w:p>
    <w:p>
      <w:pPr>
        <w:spacing w:after="120" w:before="0" w:line="360"/>
        <w:ind w:firstLine="360"/>
        <w:jc w:val="both"/>
      </w:pPr>
      <w:r>
        <w:rPr>
          <w:rFonts w:ascii="Times New Roman" w:cs="Times New Roman" w:eastAsia="Times New Roman" w:hAnsi="Times New Roman"/>
          <w:sz w:val="24"/>
          <w:szCs w:val="24"/>
        </w:rPr>
        <w:t xml:space="preserve">IEEE 754 (Floating-Point Arithmetic) — all numerical computations use double-precision 64-bit floats with the IEEE-standard round-to-nearest-even policy. The condition number of the yield-curve covariance matrix is monitored and logged in every cron execution.</w:t>
      </w:r>
    </w:p>
    <w:p>
      <w:pPr>
        <w:spacing w:after="120" w:before="0" w:line="360"/>
        <w:ind w:firstLine="360"/>
        <w:jc w:val="both"/>
      </w:pPr>
      <w:r>
        <w:rPr>
          <w:rFonts w:ascii="Times New Roman" w:cs="Times New Roman" w:eastAsia="Times New Roman" w:hAnsi="Times New Roman"/>
          <w:sz w:val="24"/>
          <w:szCs w:val="24"/>
        </w:rPr>
        <w:t xml:space="preserve">IEEE 829 (Software and System Test Documentation) — every numerical model ships with an independent validation harness (bootstrap for OU, Kupiec for GARCH, out-of-sample variance share for PCA) and its test logs are archived to a reproducible research record.</w:t>
      </w:r>
    </w:p>
    <w:p>
      <w:pPr>
        <w:spacing w:after="120" w:before="0" w:line="360"/>
        <w:ind w:firstLine="360"/>
        <w:jc w:val="both"/>
      </w:pPr>
      <w:r>
        <w:rPr>
          <w:rFonts w:ascii="Times New Roman" w:cs="Times New Roman" w:eastAsia="Times New Roman" w:hAnsi="Times New Roman"/>
          <w:sz w:val="24"/>
          <w:szCs w:val="24"/>
        </w:rPr>
        <w:t xml:space="preserve">IEEE 830 (Software Requirements Specifications) — the functional and non-functional requirements are documented in the project requirements specification, including performance targets (≤ 10 s morning-brief latency, ≥ 90% GARCH Kupiec coverage) and security targets (no API keys in source code; secrets via .env).</w:t>
      </w:r>
    </w:p>
    <w:p>
      <w:pPr>
        <w:spacing w:after="120" w:before="0" w:line="360"/>
        <w:ind w:firstLine="360"/>
        <w:jc w:val="both"/>
      </w:pPr>
      <w:r>
        <w:rPr>
          <w:rFonts w:ascii="Times New Roman" w:cs="Times New Roman" w:eastAsia="Times New Roman" w:hAnsi="Times New Roman"/>
          <w:sz w:val="24"/>
          <w:szCs w:val="24"/>
        </w:rPr>
        <w:t xml:space="preserve">The live catalogue of IEEE standards is maintained at https://www.ieee.org/content/ieee-org/en/standards/index.html/ and the three standards cited above remain current as of the date of this report.</w:t>
      </w:r>
    </w:p>
    <w:p>
      <w:pPr>
        <w:spacing w:after="160" w:before="300" w:line="360"/>
        <w:jc w:val="left"/>
      </w:pPr>
      <w:r>
        <w:rPr>
          <w:rFonts w:ascii="Times New Roman" w:cs="Times New Roman" w:eastAsia="Times New Roman" w:hAnsi="Times New Roman"/>
          <w:b/>
          <w:bCs/>
          <w:sz w:val="28"/>
          <w:szCs w:val="28"/>
        </w:rPr>
        <w:t xml:space="preserve">4.8  Summary</w:t>
      </w:r>
    </w:p>
    <w:p>
      <w:pPr>
        <w:spacing w:after="120" w:before="0" w:line="360"/>
        <w:ind w:firstLine="360"/>
        <w:jc w:val="both"/>
      </w:pPr>
      <w:r>
        <w:rPr>
          <w:rFonts w:ascii="Times New Roman" w:cs="Times New Roman" w:eastAsia="Times New Roman" w:hAnsi="Times New Roman"/>
          <w:sz w:val="24"/>
          <w:szCs w:val="24"/>
        </w:rPr>
        <w:t xml:space="preserve">In summary, empirical evaluation demonstrates that Hedgyyyboo meets or exceeds every stated performance target: PCA variance 98.7%, OU half-life error below 1.4 days, Sharpe 1.38, GARCH Kupiec coverage 94%, LLM latency 7.2 s with 95% factual grounding, and UI Time-to-Interactive under 2.1 s. The platform is ready for pedagogical use and further research.</w:t>
      </w:r>
    </w:p>
    <w:p>
      <w:pPr>
        <w:pageBreakBefore/>
        <w:spacing w:after="240" w:before="1200"/>
        <w:jc w:val="center"/>
      </w:pPr>
      <w:r>
        <w:rPr>
          <w:rFonts w:ascii="Times New Roman" w:cs="Times New Roman" w:eastAsia="Times New Roman" w:hAnsi="Times New Roman"/>
          <w:b/>
          <w:bCs/>
          <w:sz w:val="36"/>
          <w:szCs w:val="36"/>
        </w:rPr>
        <w:t xml:space="preserve">Chapter 5</w:t>
      </w:r>
    </w:p>
    <w:p>
      <w:pPr>
        <w:spacing w:after="480" w:before="120" w:line="360"/>
        <w:jc w:val="center"/>
      </w:pPr>
      <w:r>
        <w:rPr>
          <w:rFonts w:ascii="Times New Roman" w:cs="Times New Roman" w:eastAsia="Times New Roman" w:hAnsi="Times New Roman"/>
          <w:b/>
          <w:bCs/>
          <w:sz w:val="36"/>
          <w:szCs w:val="36"/>
        </w:rPr>
        <w:t xml:space="preserve">Advantages, Limitations and Applications</w:t>
      </w:r>
    </w:p>
    <w:p>
      <w:pPr>
        <w:spacing w:after="120" w:before="0" w:line="360"/>
        <w:ind w:firstLine="360"/>
        <w:jc w:val="both"/>
      </w:pPr>
      <w:r>
        <w:rPr>
          <w:rFonts w:ascii="Times New Roman" w:cs="Times New Roman" w:eastAsia="Times New Roman" w:hAnsi="Times New Roman"/>
          <w:sz w:val="24"/>
          <w:szCs w:val="24"/>
        </w:rPr>
        <w:t xml:space="preserve">This chapter discusses the practical merits and demerits of Hedgyyyboo. Section 5.1 enumerates the platform's advantages. Section 5.2 candidly documents its limitations. Section 5.3 catalogues realistic deployment scenarios across pedagogical, research, and commercial contexts.</w:t>
      </w:r>
    </w:p>
    <w:p>
      <w:pPr>
        <w:spacing w:after="160" w:before="300" w:line="360"/>
        <w:jc w:val="left"/>
      </w:pPr>
      <w:r>
        <w:rPr>
          <w:rFonts w:ascii="Times New Roman" w:cs="Times New Roman" w:eastAsia="Times New Roman" w:hAnsi="Times New Roman"/>
          <w:b/>
          <w:bCs/>
          <w:sz w:val="28"/>
          <w:szCs w:val="28"/>
        </w:rPr>
        <w:t xml:space="preserve">5.1  Advantages</w:t>
      </w:r>
    </w:p>
    <w:p>
      <w:pPr>
        <w:spacing w:after="120" w:before="0" w:line="360"/>
        <w:ind w:firstLine="360"/>
        <w:jc w:val="both"/>
      </w:pPr>
      <w:r>
        <w:rPr>
          <w:rFonts w:ascii="Times New Roman" w:cs="Times New Roman" w:eastAsia="Times New Roman" w:hAnsi="Times New Roman"/>
          <w:sz w:val="24"/>
          <w:szCs w:val="24"/>
        </w:rPr>
        <w:t xml:space="preserve">Zero marginal cost. The entire pipeline — data ingestion, numerical computation, LLM inference, and front-end rendering — incurs no per-request fees. The LLM uses the free-tier OpenRouter plan; every data feed is public. In contrast, a Bloomberg Terminal seat costs upwards of USD 24,000 per year.</w:t>
      </w:r>
    </w:p>
    <w:p>
      <w:pPr>
        <w:spacing w:after="120" w:before="0" w:line="360"/>
        <w:ind w:firstLine="360"/>
        <w:jc w:val="both"/>
      </w:pPr>
      <w:r>
        <w:rPr>
          <w:rFonts w:ascii="Times New Roman" w:cs="Times New Roman" w:eastAsia="Times New Roman" w:hAnsi="Times New Roman"/>
          <w:sz w:val="24"/>
          <w:szCs w:val="24"/>
        </w:rPr>
        <w:t xml:space="preserve">Commodity hardware. The system runs on a single consumer-grade laptop with 16 GB of RAM. No dedicated GPU, server, or cloud account is required. This makes Hedgyyyboo deployable in classroom laboratories that lack institutional infrastructure.</w:t>
      </w:r>
    </w:p>
    <w:p>
      <w:pPr>
        <w:spacing w:after="120" w:before="0" w:line="360"/>
        <w:ind w:firstLine="360"/>
        <w:jc w:val="both"/>
      </w:pPr>
      <w:r>
        <w:rPr>
          <w:rFonts w:ascii="Times New Roman" w:cs="Times New Roman" w:eastAsia="Times New Roman" w:hAnsi="Times New Roman"/>
          <w:sz w:val="24"/>
          <w:szCs w:val="24"/>
        </w:rPr>
        <w:t xml:space="preserve">Reproducibility. All seven numerical models are implemented from first principles in pure NumPy / SciPy, without reliance on proprietary solvers. Every model ships with an independent validation harness, so results are reproducible in a paper-to-code sense.</w:t>
      </w:r>
    </w:p>
    <w:p>
      <w:pPr>
        <w:spacing w:after="120" w:before="0" w:line="360"/>
        <w:ind w:firstLine="360"/>
        <w:jc w:val="both"/>
      </w:pPr>
      <w:r>
        <w:rPr>
          <w:rFonts w:ascii="Times New Roman" w:cs="Times New Roman" w:eastAsia="Times New Roman" w:hAnsi="Times New Roman"/>
          <w:sz w:val="24"/>
          <w:szCs w:val="24"/>
        </w:rPr>
        <w:t xml:space="preserve">Open standards compliance. The code base adheres to PEP 8 for Python, ESLint / Prettier for TypeScript, IEEE 754 for numerical computation, and OpenAPI 3.1 for REST API specification. Contributions from outside developers can be integrated without bespoke conventions.</w:t>
      </w:r>
    </w:p>
    <w:p>
      <w:pPr>
        <w:spacing w:after="120" w:before="0" w:line="360"/>
        <w:ind w:firstLine="360"/>
        <w:jc w:val="both"/>
      </w:pPr>
      <w:r>
        <w:rPr>
          <w:rFonts w:ascii="Times New Roman" w:cs="Times New Roman" w:eastAsia="Times New Roman" w:hAnsi="Times New Roman"/>
          <w:sz w:val="24"/>
          <w:szCs w:val="24"/>
        </w:rPr>
        <w:t xml:space="preserve">Narrative output. Unlike traditional quant libraries that expose raw numbers, Hedgyyyboo produces a PM-ready morning brief in English. This lowers the cognitive load on the end user and simulates the workflow of an institutional trading desk.</w:t>
      </w:r>
    </w:p>
    <w:p>
      <w:pPr>
        <w:spacing w:after="120" w:before="0" w:line="360"/>
        <w:ind w:firstLine="360"/>
        <w:jc w:val="both"/>
      </w:pPr>
      <w:r>
        <w:rPr>
          <w:rFonts w:ascii="Times New Roman" w:cs="Times New Roman" w:eastAsia="Times New Roman" w:hAnsi="Times New Roman"/>
          <w:sz w:val="24"/>
          <w:szCs w:val="24"/>
        </w:rPr>
        <w:t xml:space="preserve">Multi-asset breadth. FX, rates, and equities are all handled in a single unified framework. Most open-source libraries (zipline for equities, QuantLib for rates) are specialised to one asset class.</w:t>
      </w:r>
    </w:p>
    <w:p>
      <w:pPr>
        <w:spacing w:after="120" w:before="0" w:line="360"/>
        <w:ind w:firstLine="360"/>
        <w:jc w:val="both"/>
      </w:pPr>
      <w:r>
        <w:rPr>
          <w:rFonts w:ascii="Times New Roman" w:cs="Times New Roman" w:eastAsia="Times New Roman" w:hAnsi="Times New Roman"/>
          <w:sz w:val="24"/>
          <w:szCs w:val="24"/>
        </w:rPr>
        <w:t xml:space="preserve">Auditability. Every trade decision carries a full provenance chain: numeric inputs, LLM prompt, LLM response, trade record in SQLite. This meets the audit standards expected by regulators such as the SEC and ESMA.</w:t>
      </w:r>
    </w:p>
    <w:p>
      <w:pPr>
        <w:spacing w:after="160" w:before="300" w:line="360"/>
        <w:jc w:val="left"/>
      </w:pPr>
      <w:r>
        <w:rPr>
          <w:rFonts w:ascii="Times New Roman" w:cs="Times New Roman" w:eastAsia="Times New Roman" w:hAnsi="Times New Roman"/>
          <w:b/>
          <w:bCs/>
          <w:sz w:val="28"/>
          <w:szCs w:val="28"/>
        </w:rPr>
        <w:t xml:space="preserve">5.2  Limitations</w:t>
      </w:r>
    </w:p>
    <w:p>
      <w:pPr>
        <w:spacing w:after="120" w:before="0" w:line="360"/>
        <w:ind w:firstLine="360"/>
        <w:jc w:val="both"/>
      </w:pPr>
      <w:r>
        <w:rPr>
          <w:rFonts w:ascii="Times New Roman" w:cs="Times New Roman" w:eastAsia="Times New Roman" w:hAnsi="Times New Roman"/>
          <w:sz w:val="24"/>
          <w:szCs w:val="24"/>
        </w:rPr>
        <w:t xml:space="preserve">Rate limits preclude high-frequency usage. OpenRouter's free tier caps throughput at twenty requests-per-minute. Hedgyyyboo is therefore suited to daily or intraday-bucketed decision cycles; it cannot be deployed as a high-frequency trading engine.</w:t>
      </w:r>
    </w:p>
    <w:p>
      <w:pPr>
        <w:spacing w:after="120" w:before="0" w:line="360"/>
        <w:ind w:firstLine="360"/>
        <w:jc w:val="both"/>
      </w:pPr>
      <w:r>
        <w:rPr>
          <w:rFonts w:ascii="Times New Roman" w:cs="Times New Roman" w:eastAsia="Times New Roman" w:hAnsi="Times New Roman"/>
          <w:sz w:val="24"/>
          <w:szCs w:val="24"/>
        </w:rPr>
        <w:t xml:space="preserve">Four-billion-parameter LLM. Gemma-3n-E4B, while impressive for its size, trails BloombergGPT (50 B parameters, closed weights) on numerical-reasoning benchmarks such as FinQA [33]. Quantised larger models (Llama-3.1-70B-Q4) could close this gap but would require dedicated GPU inference infrastructure, removing the zero-cost guarantee.</w:t>
      </w:r>
    </w:p>
    <w:p>
      <w:pPr>
        <w:spacing w:after="120" w:before="0" w:line="360"/>
        <w:ind w:firstLine="360"/>
        <w:jc w:val="both"/>
      </w:pPr>
      <w:r>
        <w:rPr>
          <w:rFonts w:ascii="Times New Roman" w:cs="Times New Roman" w:eastAsia="Times New Roman" w:hAnsi="Times New Roman"/>
          <w:sz w:val="24"/>
          <w:szCs w:val="24"/>
        </w:rPr>
        <w:t xml:space="preserve">Single-factor rates model. The Hull–White model cannot reprice caplet / floorlet skew or bond-option smile. For these instruments a stochastic-volatility two-factor Cheyette model would be required; this is listed as future work.</w:t>
      </w:r>
    </w:p>
    <w:p>
      <w:pPr>
        <w:spacing w:after="120" w:before="0" w:line="360"/>
        <w:ind w:firstLine="360"/>
        <w:jc w:val="both"/>
      </w:pPr>
      <w:r>
        <w:rPr>
          <w:rFonts w:ascii="Times New Roman" w:cs="Times New Roman" w:eastAsia="Times New Roman" w:hAnsi="Times New Roman"/>
          <w:sz w:val="24"/>
          <w:szCs w:val="24"/>
        </w:rPr>
        <w:t xml:space="preserve">In-sample back-tests. The OU strategy Sharpe of 1.38 is measured on the same window used for parameter estimation. Walk-forward analysis, out-of-sample test, and transaction-cost-inclusive simulation are all required before the strategy can be considered for live deployment.</w:t>
      </w:r>
    </w:p>
    <w:p>
      <w:pPr>
        <w:spacing w:after="120" w:before="0" w:line="360"/>
        <w:ind w:firstLine="360"/>
        <w:jc w:val="both"/>
      </w:pPr>
      <w:r>
        <w:rPr>
          <w:rFonts w:ascii="Times New Roman" w:cs="Times New Roman" w:eastAsia="Times New Roman" w:hAnsi="Times New Roman"/>
          <w:sz w:val="24"/>
          <w:szCs w:val="24"/>
        </w:rPr>
        <w:t xml:space="preserve">Limited hallucination audit. The audit sample of twenty morning briefs, while sufficient for a minimum-viable-product claim, is too small for a robust operational rate. A larger sample with an LLM-as-judge pipeline is planned.</w:t>
      </w:r>
    </w:p>
    <w:p>
      <w:pPr>
        <w:spacing w:after="120" w:before="0" w:line="360"/>
        <w:ind w:firstLine="360"/>
        <w:jc w:val="both"/>
      </w:pPr>
      <w:r>
        <w:rPr>
          <w:rFonts w:ascii="Times New Roman" w:cs="Times New Roman" w:eastAsia="Times New Roman" w:hAnsi="Times New Roman"/>
          <w:sz w:val="24"/>
          <w:szCs w:val="24"/>
        </w:rPr>
        <w:t xml:space="preserve">SQLite scalability. The embedded SQLite ledger is fine for a single-user capstone project but would not scale to a multi-trader production environment; a PostgreSQL migration is recommended before any such expansion.</w:t>
      </w:r>
    </w:p>
    <w:p>
      <w:pPr>
        <w:spacing w:after="120" w:before="0" w:line="360"/>
        <w:ind w:firstLine="360"/>
        <w:jc w:val="both"/>
      </w:pPr>
      <w:r>
        <w:rPr>
          <w:rFonts w:ascii="Times New Roman" w:cs="Times New Roman" w:eastAsia="Times New Roman" w:hAnsi="Times New Roman"/>
          <w:sz w:val="24"/>
          <w:szCs w:val="24"/>
        </w:rPr>
        <w:t xml:space="preserve">Dependency on third-party APIs. Yahoo Finance, Google News, and OpenRouter have no formal service-level agreements for free-tier consumers. An outage at any one of these providers degrades the platform silently.</w:t>
      </w:r>
    </w:p>
    <w:p>
      <w:pPr>
        <w:spacing w:after="160" w:before="300" w:line="360"/>
        <w:jc w:val="left"/>
      </w:pPr>
      <w:r>
        <w:rPr>
          <w:rFonts w:ascii="Times New Roman" w:cs="Times New Roman" w:eastAsia="Times New Roman" w:hAnsi="Times New Roman"/>
          <w:b/>
          <w:bCs/>
          <w:sz w:val="28"/>
          <w:szCs w:val="28"/>
        </w:rPr>
        <w:t xml:space="preserve">5.3  Applications</w:t>
      </w:r>
    </w:p>
    <w:p>
      <w:pPr>
        <w:spacing w:after="120" w:before="0" w:line="360"/>
        <w:ind w:firstLine="360"/>
        <w:jc w:val="both"/>
      </w:pPr>
      <w:r>
        <w:rPr>
          <w:rFonts w:ascii="Times New Roman" w:cs="Times New Roman" w:eastAsia="Times New Roman" w:hAnsi="Times New Roman"/>
          <w:sz w:val="24"/>
          <w:szCs w:val="24"/>
        </w:rPr>
        <w:t xml:space="preserve">Pedagogy. Hedgyyyboo is the ideal teaching vehicle for a final-year quantitative-finance or financial-engineering course. Students can exercise every step of the pipeline — from yield-curve PCA to GARCH estimation to LLM integration — on hardware they already own.</w:t>
      </w:r>
    </w:p>
    <w:p>
      <w:pPr>
        <w:spacing w:after="120" w:before="0" w:line="360"/>
        <w:ind w:firstLine="360"/>
        <w:jc w:val="both"/>
      </w:pPr>
      <w:r>
        <w:rPr>
          <w:rFonts w:ascii="Times New Roman" w:cs="Times New Roman" w:eastAsia="Times New Roman" w:hAnsi="Times New Roman"/>
          <w:sz w:val="24"/>
          <w:szCs w:val="24"/>
        </w:rPr>
        <w:t xml:space="preserve">Independent research. Academic researchers without access to Bloomberg can replicate sell-side research reports by leveraging the platform's live feeds and narrative generation. The reproducible LaTeX / DOCX output of the morning brief makes the pipeline suitable as an experimental apparatus in quantitative finance studies.</w:t>
      </w:r>
    </w:p>
    <w:p>
      <w:pPr>
        <w:spacing w:after="120" w:before="0" w:line="360"/>
        <w:ind w:firstLine="360"/>
        <w:jc w:val="both"/>
      </w:pPr>
      <w:r>
        <w:rPr>
          <w:rFonts w:ascii="Times New Roman" w:cs="Times New Roman" w:eastAsia="Times New Roman" w:hAnsi="Times New Roman"/>
          <w:sz w:val="24"/>
          <w:szCs w:val="24"/>
        </w:rPr>
        <w:t xml:space="preserve">Retail trading. A sophisticated retail trader can consume the FX Macro desk's OU diagnostics and the Main desk's morning brief as decision support. The platform does not execute live trades by default; trade execution is stub-only in the open-source release.</w:t>
      </w:r>
    </w:p>
    <w:p>
      <w:pPr>
        <w:spacing w:after="120" w:before="0" w:line="360"/>
        <w:ind w:firstLine="360"/>
        <w:jc w:val="both"/>
      </w:pPr>
      <w:r>
        <w:rPr>
          <w:rFonts w:ascii="Times New Roman" w:cs="Times New Roman" w:eastAsia="Times New Roman" w:hAnsi="Times New Roman"/>
          <w:sz w:val="24"/>
          <w:szCs w:val="24"/>
        </w:rPr>
        <w:t xml:space="preserve">Risk-management training. Compliance officers and internal-audit staff can use the GARCH VaR panel and the Hull–White swaption pricer as a training sandbox, independent of the firm's production risk systems.</w:t>
      </w:r>
    </w:p>
    <w:p>
      <w:pPr>
        <w:spacing w:after="120" w:before="0" w:line="360"/>
        <w:ind w:firstLine="360"/>
        <w:jc w:val="both"/>
      </w:pPr>
      <w:r>
        <w:rPr>
          <w:rFonts w:ascii="Times New Roman" w:cs="Times New Roman" w:eastAsia="Times New Roman" w:hAnsi="Times New Roman"/>
          <w:sz w:val="24"/>
          <w:szCs w:val="24"/>
        </w:rPr>
        <w:t xml:space="preserve">Hackathon / Capstone template. The Hedgyyyboo architecture (FastAPI back-end + Next.js front-end + SQLite persistence + OpenRouter LLM) generalises to many student project categories beyond finance: healthcare analytics, sports analytics, climate analytics. Forking the scaffold yields an immediate three-tier reference implementation.</w:t>
      </w:r>
    </w:p>
    <w:p>
      <w:pPr>
        <w:spacing w:after="120" w:before="0" w:line="360"/>
        <w:ind w:firstLine="360"/>
        <w:jc w:val="both"/>
      </w:pPr>
      <w:r>
        <w:rPr>
          <w:rFonts w:ascii="Times New Roman" w:cs="Times New Roman" w:eastAsia="Times New Roman" w:hAnsi="Times New Roman"/>
          <w:sz w:val="24"/>
          <w:szCs w:val="24"/>
        </w:rPr>
        <w:t xml:space="preserve">Regulatory technology (RegTech). Financial regulators experimenting with synthetic-data-driven supervisory analytics can use Hedgyyyboo's zero-cost LLM layer to prototype explanatory engines for their VaR and stress-test outputs, without incurring commercial-API bills.</w:t>
      </w:r>
    </w:p>
    <w:p>
      <w:pPr>
        <w:spacing w:after="160" w:before="300" w:line="360"/>
        <w:jc w:val="left"/>
      </w:pPr>
      <w:r>
        <w:rPr>
          <w:rFonts w:ascii="Times New Roman" w:cs="Times New Roman" w:eastAsia="Times New Roman" w:hAnsi="Times New Roman"/>
          <w:b/>
          <w:bCs/>
          <w:sz w:val="28"/>
          <w:szCs w:val="28"/>
        </w:rPr>
        <w:t xml:space="preserve">5.4  Summary</w:t>
      </w:r>
    </w:p>
    <w:p>
      <w:pPr>
        <w:spacing w:after="120" w:before="0" w:line="360"/>
        <w:ind w:firstLine="360"/>
        <w:jc w:val="both"/>
      </w:pPr>
      <w:r>
        <w:rPr>
          <w:rFonts w:ascii="Times New Roman" w:cs="Times New Roman" w:eastAsia="Times New Roman" w:hAnsi="Times New Roman"/>
          <w:sz w:val="24"/>
          <w:szCs w:val="24"/>
        </w:rPr>
        <w:t xml:space="preserve">In summary, Hedgyyyboo offers a zero-cost, commodity-hardware, open-source multi-asset platform whose breadth, reproducibility, and narrative output constitute seven distinct advantages; yet the free-tier rate-limit, the small-model numerical weakness, and the single-factor rates model impose genuine limitations that must be acknowledged. The platform's applications span pedagogy, research, retail trading, risk-management training, hackathon scaffolding, and regulatory technology.</w:t>
      </w:r>
    </w:p>
    <w:p>
      <w:pPr>
        <w:pageBreakBefore/>
        <w:spacing w:after="240" w:before="1200"/>
        <w:jc w:val="center"/>
      </w:pPr>
      <w:r>
        <w:rPr>
          <w:rFonts w:ascii="Times New Roman" w:cs="Times New Roman" w:eastAsia="Times New Roman" w:hAnsi="Times New Roman"/>
          <w:b/>
          <w:bCs/>
          <w:sz w:val="36"/>
          <w:szCs w:val="36"/>
        </w:rPr>
        <w:t xml:space="preserve">Chapter 6</w:t>
      </w:r>
    </w:p>
    <w:p>
      <w:pPr>
        <w:spacing w:after="480" w:before="120" w:line="360"/>
        <w:jc w:val="center"/>
      </w:pPr>
      <w:r>
        <w:rPr>
          <w:rFonts w:ascii="Times New Roman" w:cs="Times New Roman" w:eastAsia="Times New Roman" w:hAnsi="Times New Roman"/>
          <w:b/>
          <w:bCs/>
          <w:sz w:val="36"/>
          <w:szCs w:val="36"/>
        </w:rPr>
        <w:t xml:space="preserve">Conclusion and Future Scope</w:t>
      </w:r>
    </w:p>
    <w:p>
      <w:pPr>
        <w:spacing w:after="120" w:before="0" w:line="360"/>
        <w:ind w:firstLine="360"/>
        <w:jc w:val="both"/>
      </w:pPr>
      <w:r>
        <w:rPr>
          <w:rFonts w:ascii="Times New Roman" w:cs="Times New Roman" w:eastAsia="Times New Roman" w:hAnsi="Times New Roman"/>
          <w:sz w:val="24"/>
          <w:szCs w:val="24"/>
        </w:rPr>
        <w:t xml:space="preserve">This chapter concludes the report. Section 6.1 summarises the work carried out. Section 6.2 derives conclusions from the empirical results. Section 6.3 lays out concrete future-scope directions.</w:t>
      </w:r>
    </w:p>
    <w:p>
      <w:pPr>
        <w:spacing w:after="160" w:before="300" w:line="360"/>
        <w:jc w:val="left"/>
      </w:pPr>
      <w:r>
        <w:rPr>
          <w:rFonts w:ascii="Times New Roman" w:cs="Times New Roman" w:eastAsia="Times New Roman" w:hAnsi="Times New Roman"/>
          <w:b/>
          <w:bCs/>
          <w:sz w:val="28"/>
          <w:szCs w:val="28"/>
        </w:rPr>
        <w:t xml:space="preserve">6.1  Summary of Work Carried Out</w:t>
      </w:r>
    </w:p>
    <w:p>
      <w:pPr>
        <w:spacing w:after="120" w:before="0" w:line="360"/>
        <w:ind w:firstLine="360"/>
        <w:jc w:val="both"/>
      </w:pPr>
      <w:r>
        <w:rPr>
          <w:rFonts w:ascii="Times New Roman" w:cs="Times New Roman" w:eastAsia="Times New Roman" w:hAnsi="Times New Roman"/>
          <w:sz w:val="24"/>
          <w:szCs w:val="24"/>
        </w:rPr>
        <w:t xml:space="preserve">Over seventeen weeks, this capstone project delivered Hedgyyyboo, a reproducible open-source multi-asset quantitative analytics platform. Fifty-three REST endpoints and three single-page-application desks were designed, implemented, and tested on two years of daily data. Seven classical stochastic-calculus models (Ornstein–Uhlenbeck, Hurst, GARCH, PCA, Hull–White, Heston, Neural-SDE) were implemented from first principles in pure NumPy / SciPy. A retrieval-augmented LLM layer backed by Google's Gemma-3n-E4B-it via OpenRouter was integrated with a documented system-prompt-merge workaround. The complete back-end (Python 3.11 / FastAPI) and front-end (Next.js 16 / React 19 / TypeScript 5.6) source code, along with seventeen pages of validation results, is released under a permissive open-source licence.</w:t>
      </w:r>
    </w:p>
    <w:p>
      <w:pPr>
        <w:spacing w:after="160" w:before="300" w:line="360"/>
        <w:jc w:val="left"/>
      </w:pPr>
      <w:r>
        <w:rPr>
          <w:rFonts w:ascii="Times New Roman" w:cs="Times New Roman" w:eastAsia="Times New Roman" w:hAnsi="Times New Roman"/>
          <w:b/>
          <w:bCs/>
          <w:sz w:val="28"/>
          <w:szCs w:val="28"/>
        </w:rPr>
        <w:t xml:space="preserve">6.2  Conclusions</w:t>
      </w:r>
    </w:p>
    <w:p>
      <w:pPr>
        <w:spacing w:after="120" w:before="0" w:line="360"/>
        <w:ind w:firstLine="360"/>
        <w:jc w:val="both"/>
      </w:pPr>
      <w:r>
        <w:rPr>
          <w:rFonts w:ascii="Times New Roman" w:cs="Times New Roman" w:eastAsia="Times New Roman" w:hAnsi="Times New Roman"/>
          <w:sz w:val="24"/>
          <w:szCs w:val="24"/>
        </w:rPr>
        <w:t xml:space="preserve">Four conclusions flow from the empirical results presented in Chapter 4.</w:t>
      </w:r>
    </w:p>
    <w:p>
      <w:pPr>
        <w:spacing w:after="120" w:before="0" w:line="360"/>
        <w:ind w:firstLine="360"/>
        <w:jc w:val="both"/>
      </w:pPr>
      <w:r>
        <w:rPr>
          <w:rFonts w:ascii="Times New Roman" w:cs="Times New Roman" w:eastAsia="Times New Roman" w:hAnsi="Times New Roman"/>
          <w:sz w:val="24"/>
          <w:szCs w:val="24"/>
        </w:rPr>
        <w:t xml:space="preserve">First, three PCA factors still explain ≥ 98% of U.S. Treasury return variance on a previously-unseen 2024–2026 window, confirming Litterman–Scheinkman [11] over thirty years later.</w:t>
      </w:r>
    </w:p>
    <w:p>
      <w:pPr>
        <w:spacing w:after="120" w:before="0" w:line="360"/>
        <w:ind w:firstLine="360"/>
        <w:jc w:val="both"/>
      </w:pPr>
      <w:r>
        <w:rPr>
          <w:rFonts w:ascii="Times New Roman" w:cs="Times New Roman" w:eastAsia="Times New Roman" w:hAnsi="Times New Roman"/>
          <w:sz w:val="24"/>
          <w:szCs w:val="24"/>
        </w:rPr>
        <w:t xml:space="preserve">Second, the Ornstein–Uhlenbeck maximum-likelihood estimator applied to G10 currency logs produces half-life estimates whose bootstrap standard error is below 1.4 days, meeting the precision required for tactical FX mean-reversion trading.</w:t>
      </w:r>
    </w:p>
    <w:p>
      <w:pPr>
        <w:spacing w:after="120" w:before="0" w:line="360"/>
        <w:ind w:firstLine="360"/>
        <w:jc w:val="both"/>
      </w:pPr>
      <w:r>
        <w:rPr>
          <w:rFonts w:ascii="Times New Roman" w:cs="Times New Roman" w:eastAsia="Times New Roman" w:hAnsi="Times New Roman"/>
          <w:sz w:val="24"/>
          <w:szCs w:val="24"/>
        </w:rPr>
        <w:t xml:space="preserve">Third, GARCH(1,1) passes Kupiec's unconditional-coverage test on 94% of a fifty-stock universe at the 1% VaR level, making it a defensible default model for desk-level tail-risk reporting.</w:t>
      </w:r>
    </w:p>
    <w:p>
      <w:pPr>
        <w:spacing w:after="120" w:before="0" w:line="360"/>
        <w:ind w:firstLine="360"/>
        <w:jc w:val="both"/>
      </w:pPr>
      <w:r>
        <w:rPr>
          <w:rFonts w:ascii="Times New Roman" w:cs="Times New Roman" w:eastAsia="Times New Roman" w:hAnsi="Times New Roman"/>
          <w:sz w:val="24"/>
          <w:szCs w:val="24"/>
        </w:rPr>
        <w:t xml:space="preserve">Fourth, Google's Gemma-3n-E4B model on the free OpenRouter tier produces factually-grounded financial commentary 95% of the time, and the 5% failure mode is attributable to stale retrieval caches rather than LLM hallucination — validating the retrieval-augmented-generation paradigm for live numerical feeds.</w:t>
      </w:r>
    </w:p>
    <w:p>
      <w:pPr>
        <w:spacing w:after="120" w:before="0" w:line="360"/>
        <w:ind w:firstLine="360"/>
        <w:jc w:val="both"/>
      </w:pPr>
      <w:r>
        <w:rPr>
          <w:rFonts w:ascii="Times New Roman" w:cs="Times New Roman" w:eastAsia="Times New Roman" w:hAnsi="Times New Roman"/>
          <w:sz w:val="24"/>
          <w:szCs w:val="24"/>
        </w:rPr>
        <w:t xml:space="preserve">These four conclusions collectively support the thesis that a zero-cost, commodity-hardware, open-source multi-asset platform is not merely possible but quantitatively competitive.</w:t>
      </w:r>
    </w:p>
    <w:p>
      <w:pPr>
        <w:spacing w:after="160" w:before="300" w:line="360"/>
        <w:jc w:val="left"/>
      </w:pPr>
      <w:r>
        <w:rPr>
          <w:rFonts w:ascii="Times New Roman" w:cs="Times New Roman" w:eastAsia="Times New Roman" w:hAnsi="Times New Roman"/>
          <w:b/>
          <w:bCs/>
          <w:sz w:val="28"/>
          <w:szCs w:val="28"/>
        </w:rPr>
        <w:t xml:space="preserve">6.3  Future Scope</w:t>
      </w:r>
    </w:p>
    <w:p>
      <w:pPr>
        <w:spacing w:after="120" w:before="0" w:line="360"/>
        <w:ind w:firstLine="360"/>
        <w:jc w:val="both"/>
      </w:pPr>
      <w:r>
        <w:rPr>
          <w:rFonts w:ascii="Times New Roman" w:cs="Times New Roman" w:eastAsia="Times New Roman" w:hAnsi="Times New Roman"/>
          <w:sz w:val="24"/>
          <w:szCs w:val="24"/>
        </w:rPr>
        <w:t xml:space="preserve">The following concrete future-work items are proposed.</w:t>
      </w:r>
    </w:p>
    <w:p>
      <w:pPr>
        <w:spacing w:after="120" w:before="0" w:line="360"/>
        <w:ind w:firstLine="360"/>
        <w:jc w:val="both"/>
      </w:pPr>
      <w:r>
        <w:rPr>
          <w:rFonts w:ascii="Times New Roman" w:cs="Times New Roman" w:eastAsia="Times New Roman" w:hAnsi="Times New Roman"/>
          <w:sz w:val="24"/>
          <w:szCs w:val="24"/>
        </w:rPr>
        <w:t xml:space="preserve">F1. Walk-forward back-testing. The current OU-strategy Sharpe of 1.38 is in-sample. A rolling-window walk-forward evaluation with six-month re-estimation periods will provide a genuinely out-of-sample performance estimate.</w:t>
      </w:r>
    </w:p>
    <w:p>
      <w:pPr>
        <w:spacing w:after="120" w:before="0" w:line="360"/>
        <w:ind w:firstLine="360"/>
        <w:jc w:val="both"/>
      </w:pPr>
      <w:r>
        <w:rPr>
          <w:rFonts w:ascii="Times New Roman" w:cs="Times New Roman" w:eastAsia="Times New Roman" w:hAnsi="Times New Roman"/>
          <w:sz w:val="24"/>
          <w:szCs w:val="24"/>
        </w:rPr>
        <w:t xml:space="preserve">F2. Two-factor Cheyette rates model. Replacing the single-factor Hull–White short-rate with a two-factor Cheyette stochastic-volatility model will correctly reprice caplet-floor skew and Bermudan swaption smile.</w:t>
      </w:r>
    </w:p>
    <w:p>
      <w:pPr>
        <w:spacing w:after="120" w:before="0" w:line="360"/>
        <w:ind w:firstLine="360"/>
        <w:jc w:val="both"/>
      </w:pPr>
      <w:r>
        <w:rPr>
          <w:rFonts w:ascii="Times New Roman" w:cs="Times New Roman" w:eastAsia="Times New Roman" w:hAnsi="Times New Roman"/>
          <w:sz w:val="24"/>
          <w:szCs w:val="24"/>
        </w:rPr>
        <w:t xml:space="preserve">F3. Student-t GARCH. Bollerslev's [17] Student-t error distribution captures the fat tails evident in the three failing Kupiec tickers. Migrating from Gaussian to Student-t GARCH is a one-parameter extension that can be added with modest effort.</w:t>
      </w:r>
    </w:p>
    <w:p>
      <w:pPr>
        <w:spacing w:after="120" w:before="0" w:line="360"/>
        <w:ind w:firstLine="360"/>
        <w:jc w:val="both"/>
      </w:pPr>
      <w:r>
        <w:rPr>
          <w:rFonts w:ascii="Times New Roman" w:cs="Times New Roman" w:eastAsia="Times New Roman" w:hAnsi="Times New Roman"/>
          <w:sz w:val="24"/>
          <w:szCs w:val="24"/>
        </w:rPr>
        <w:t xml:space="preserve">F4. LLM-as-judge grounding. Zheng et al. [32] showed that a second (typically stronger) LLM can effectively audit the factual grounding of a first model's output. Hedgyyyboo would benefit from an automated LLM-as-judge pipeline evaluating every generated morning brief.</w:t>
      </w:r>
    </w:p>
    <w:p>
      <w:pPr>
        <w:spacing w:after="120" w:before="0" w:line="360"/>
        <w:ind w:firstLine="360"/>
        <w:jc w:val="both"/>
      </w:pPr>
      <w:r>
        <w:rPr>
          <w:rFonts w:ascii="Times New Roman" w:cs="Times New Roman" w:eastAsia="Times New Roman" w:hAnsi="Times New Roman"/>
          <w:sz w:val="24"/>
          <w:szCs w:val="24"/>
        </w:rPr>
        <w:t xml:space="preserve">F5. Larger quantised open-weight models. Upgrading Gemma-3n-E4B to a quantised Llama-3.1-70B-Q4 served via a local vLLM instance would lift numerical-reasoning accuracy at the cost of requiring a consumer GPU.</w:t>
      </w:r>
    </w:p>
    <w:p>
      <w:pPr>
        <w:spacing w:after="120" w:before="0" w:line="360"/>
        <w:ind w:firstLine="360"/>
        <w:jc w:val="both"/>
      </w:pPr>
      <w:r>
        <w:rPr>
          <w:rFonts w:ascii="Times New Roman" w:cs="Times New Roman" w:eastAsia="Times New Roman" w:hAnsi="Times New Roman"/>
          <w:sz w:val="24"/>
          <w:szCs w:val="24"/>
        </w:rPr>
        <w:t xml:space="preserve">F6. Walk-through paper trading. Adding a stateful paper-trading mode with order-book slippage simulation will make Hedgyyyboo a realistic retail-trader training ground.</w:t>
      </w:r>
    </w:p>
    <w:p>
      <w:pPr>
        <w:spacing w:after="120" w:before="0" w:line="360"/>
        <w:ind w:firstLine="360"/>
        <w:jc w:val="both"/>
      </w:pPr>
      <w:r>
        <w:rPr>
          <w:rFonts w:ascii="Times New Roman" w:cs="Times New Roman" w:eastAsia="Times New Roman" w:hAnsi="Times New Roman"/>
          <w:sz w:val="24"/>
          <w:szCs w:val="24"/>
        </w:rPr>
        <w:t xml:space="preserve">F7. PostgreSQL persistence. Migrating the SQLite ledger to PostgreSQL will enable multi-user deployments at zero additional cloud cost using the Postgres free-tier on major cloud providers.</w:t>
      </w:r>
    </w:p>
    <w:p>
      <w:pPr>
        <w:spacing w:after="120" w:before="0" w:line="360"/>
        <w:ind w:firstLine="360"/>
        <w:jc w:val="both"/>
      </w:pPr>
      <w:r>
        <w:rPr>
          <w:rFonts w:ascii="Times New Roman" w:cs="Times New Roman" w:eastAsia="Times New Roman" w:hAnsi="Times New Roman"/>
          <w:sz w:val="24"/>
          <w:szCs w:val="24"/>
        </w:rPr>
        <w:t xml:space="preserve">F8. Integration with low-latency feeds. Replacing Yahoo Finance with a commercial feed such as Polygon.io would enable intraday analytics at the five-minute bucket.</w:t>
      </w:r>
    </w:p>
    <w:p>
      <w:pPr>
        <w:spacing w:after="120" w:before="0" w:line="360"/>
        <w:ind w:firstLine="360"/>
        <w:jc w:val="both"/>
      </w:pPr>
      <w:r>
        <w:rPr>
          <w:rFonts w:ascii="Times New Roman" w:cs="Times New Roman" w:eastAsia="Times New Roman" w:hAnsi="Times New Roman"/>
          <w:sz w:val="24"/>
          <w:szCs w:val="24"/>
        </w:rPr>
        <w:t xml:space="preserve">F9. Regression test suite. A pytest suite with golden-file comparisons for every numeric model output will reduce regression risk during ongoing refactors.</w:t>
      </w:r>
    </w:p>
    <w:p>
      <w:pPr>
        <w:spacing w:after="120" w:before="0" w:line="360"/>
        <w:ind w:firstLine="360"/>
        <w:jc w:val="both"/>
      </w:pPr>
      <w:r>
        <w:rPr>
          <w:rFonts w:ascii="Times New Roman" w:cs="Times New Roman" w:eastAsia="Times New Roman" w:hAnsi="Times New Roman"/>
          <w:sz w:val="24"/>
          <w:szCs w:val="24"/>
        </w:rPr>
        <w:t xml:space="preserve">F10. Accessibility compliance. WCAG 2.1 AA compliance for the front-end desks would unlock pedagogical deployment in inclusive-classroom settings.</w:t>
      </w:r>
    </w:p>
    <w:p>
      <w:pPr>
        <w:spacing w:after="160" w:before="300" w:line="360"/>
        <w:jc w:val="left"/>
      </w:pPr>
      <w:r>
        <w:rPr>
          <w:rFonts w:ascii="Times New Roman" w:cs="Times New Roman" w:eastAsia="Times New Roman" w:hAnsi="Times New Roman"/>
          <w:b/>
          <w:bCs/>
          <w:sz w:val="28"/>
          <w:szCs w:val="28"/>
        </w:rPr>
        <w:t xml:space="preserve">6.4  Summary</w:t>
      </w:r>
    </w:p>
    <w:p>
      <w:pPr>
        <w:spacing w:after="120" w:before="0" w:line="360"/>
        <w:ind w:firstLine="360"/>
        <w:jc w:val="both"/>
      </w:pPr>
      <w:r>
        <w:rPr>
          <w:rFonts w:ascii="Times New Roman" w:cs="Times New Roman" w:eastAsia="Times New Roman" w:hAnsi="Times New Roman"/>
          <w:sz w:val="24"/>
          <w:szCs w:val="24"/>
        </w:rPr>
        <w:t xml:space="preserve">In summary, the Hedgyyyboo capstone project demonstrates the feasibility of an open, reproducible, zero-cost multi-asset quantitative analytics platform; its empirical evaluation validates four research contributions; and ten future-work items have been identified to extend the platform into a genuinely production-grade system.</w:t>
      </w:r>
    </w:p>
    <w:p>
      <w:pPr>
        <w:pageBreakBefore/>
        <w:spacing w:after="360" w:before="1000"/>
        <w:jc w:val="center"/>
      </w:pPr>
      <w:r>
        <w:rPr>
          <w:rFonts w:ascii="Times New Roman" w:cs="Times New Roman" w:eastAsia="Times New Roman" w:hAnsi="Times New Roman"/>
          <w:b/>
          <w:bCs/>
          <w:sz w:val="36"/>
          <w:szCs w:val="36"/>
        </w:rPr>
        <w:t xml:space="preserve">REFERENCES</w:t>
      </w:r>
    </w:p>
    <w:p>
      <w:pPr>
        <w:spacing w:after="120" w:line="300"/>
        <w:ind w:left="540" w:hanging="540"/>
        <w:jc w:val="both"/>
      </w:pPr>
      <w:r>
        <w:rPr>
          <w:rFonts w:ascii="Times New Roman" w:cs="Times New Roman" w:eastAsia="Times New Roman" w:hAnsi="Times New Roman"/>
          <w:sz w:val="24"/>
          <w:szCs w:val="24"/>
        </w:rPr>
        <w:t xml:space="preserve">[1]  F. Black and M. Scholes, "The pricing of options and corporate liabilities," Journal of Political Economy, vol. 81, no. 3, pp. 637-654, May 1973.</w:t>
      </w:r>
    </w:p>
    <w:p>
      <w:pPr>
        <w:spacing w:after="120" w:line="300"/>
        <w:ind w:left="540" w:hanging="540"/>
        <w:jc w:val="both"/>
      </w:pPr>
      <w:r>
        <w:rPr>
          <w:rFonts w:ascii="Times New Roman" w:cs="Times New Roman" w:eastAsia="Times New Roman" w:hAnsi="Times New Roman"/>
          <w:sz w:val="24"/>
          <w:szCs w:val="24"/>
        </w:rPr>
        <w:t xml:space="preserve">[2]  S. L. Heston, "A closed-form solution for options with stochastic volatility with applications to bond and currency options," Review of Financial Studies, vol. 6, no. 2, pp. 327-343, Apr. 1993.</w:t>
      </w:r>
    </w:p>
    <w:p>
      <w:pPr>
        <w:spacing w:after="120" w:line="300"/>
        <w:ind w:left="540" w:hanging="540"/>
        <w:jc w:val="both"/>
      </w:pPr>
      <w:r>
        <w:rPr>
          <w:rFonts w:ascii="Times New Roman" w:cs="Times New Roman" w:eastAsia="Times New Roman" w:hAnsi="Times New Roman"/>
          <w:sz w:val="24"/>
          <w:szCs w:val="24"/>
        </w:rPr>
        <w:t xml:space="preserve">[3]  J. Hull and A. White, "Pricing interest-rate-derivative securities," Review of Financial Studies, vol. 3, no. 4, pp. 573-592, Oct. 1990.</w:t>
      </w:r>
    </w:p>
    <w:p>
      <w:pPr>
        <w:spacing w:after="120" w:line="300"/>
        <w:ind w:left="540" w:hanging="540"/>
        <w:jc w:val="both"/>
      </w:pPr>
      <w:r>
        <w:rPr>
          <w:rFonts w:ascii="Times New Roman" w:cs="Times New Roman" w:eastAsia="Times New Roman" w:hAnsi="Times New Roman"/>
          <w:sz w:val="24"/>
          <w:szCs w:val="24"/>
        </w:rPr>
        <w:t xml:space="preserve">[4]  O. Vasicek, "An equilibrium characterization of the term structure," Journal of Financial Economics, vol. 5, no. 2, pp. 177-188, Nov. 1977.</w:t>
      </w:r>
    </w:p>
    <w:p>
      <w:pPr>
        <w:spacing w:after="120" w:line="300"/>
        <w:ind w:left="540" w:hanging="540"/>
        <w:jc w:val="both"/>
      </w:pPr>
      <w:r>
        <w:rPr>
          <w:rFonts w:ascii="Times New Roman" w:cs="Times New Roman" w:eastAsia="Times New Roman" w:hAnsi="Times New Roman"/>
          <w:sz w:val="24"/>
          <w:szCs w:val="24"/>
        </w:rPr>
        <w:t xml:space="preserve">[5]  G. E. Uhlenbeck and L. S. Ornstein, "On the theory of the Brownian motion," Physical Review, vol. 36, no. 5, pp. 823-841, Sep. 1930.</w:t>
      </w:r>
    </w:p>
    <w:p>
      <w:pPr>
        <w:spacing w:after="120" w:line="300"/>
        <w:ind w:left="540" w:hanging="540"/>
        <w:jc w:val="both"/>
      </w:pPr>
      <w:r>
        <w:rPr>
          <w:rFonts w:ascii="Times New Roman" w:cs="Times New Roman" w:eastAsia="Times New Roman" w:hAnsi="Times New Roman"/>
          <w:sz w:val="24"/>
          <w:szCs w:val="24"/>
        </w:rPr>
        <w:t xml:space="preserve">[6]  G. Vidyamurthy, Pairs Trading: Quantitative Methods and Analysis, 1st Ed., ch. 4, pp. 73-96, John Wiley &amp; Sons, New York, 2004.</w:t>
      </w:r>
    </w:p>
    <w:p>
      <w:pPr>
        <w:spacing w:after="120" w:line="300"/>
        <w:ind w:left="540" w:hanging="540"/>
        <w:jc w:val="both"/>
      </w:pPr>
      <w:r>
        <w:rPr>
          <w:rFonts w:ascii="Times New Roman" w:cs="Times New Roman" w:eastAsia="Times New Roman" w:hAnsi="Times New Roman"/>
          <w:sz w:val="24"/>
          <w:szCs w:val="24"/>
        </w:rPr>
        <w:t xml:space="preserve">[7]  Y. Aït-Sahalia, "Maximum likelihood estimation of discretely sampled diffusions: A closed-form approximation approach," Econometrica, vol. 70, no. 1, pp. 223-262, Jan. 2002.</w:t>
      </w:r>
    </w:p>
    <w:p>
      <w:pPr>
        <w:spacing w:after="120" w:line="300"/>
        <w:ind w:left="540" w:hanging="540"/>
        <w:jc w:val="both"/>
      </w:pPr>
      <w:r>
        <w:rPr>
          <w:rFonts w:ascii="Times New Roman" w:cs="Times New Roman" w:eastAsia="Times New Roman" w:hAnsi="Times New Roman"/>
          <w:sz w:val="24"/>
          <w:szCs w:val="24"/>
        </w:rPr>
        <w:t xml:space="preserve">[8]  J. Gatheral, The Volatility Surface: A Practitioner's Guide, 1st Ed., ch. 3, pp. 27-52, John Wiley &amp; Sons, Hoboken, NJ, 2006.</w:t>
      </w:r>
    </w:p>
    <w:p>
      <w:pPr>
        <w:spacing w:after="120" w:line="300"/>
        <w:ind w:left="540" w:hanging="540"/>
        <w:jc w:val="both"/>
      </w:pPr>
      <w:r>
        <w:rPr>
          <w:rFonts w:ascii="Times New Roman" w:cs="Times New Roman" w:eastAsia="Times New Roman" w:hAnsi="Times New Roman"/>
          <w:sz w:val="24"/>
          <w:szCs w:val="24"/>
        </w:rPr>
        <w:t xml:space="preserve">[9]  F. Jamshidian, "An exact bond option formula," Journal of Finance, vol. 44, no. 1, pp. 205-209, Mar. 1989.</w:t>
      </w:r>
    </w:p>
    <w:p>
      <w:pPr>
        <w:spacing w:after="120" w:line="300"/>
        <w:ind w:left="540" w:hanging="540"/>
        <w:jc w:val="both"/>
      </w:pPr>
      <w:r>
        <w:rPr>
          <w:rFonts w:ascii="Times New Roman" w:cs="Times New Roman" w:eastAsia="Times New Roman" w:hAnsi="Times New Roman"/>
          <w:sz w:val="24"/>
          <w:szCs w:val="24"/>
        </w:rPr>
        <w:t xml:space="preserve">[10]  L. Andersen, "Simple and efficient simulation of the Heston model," Journal of Computational Finance, vol. 11, no. 3, pp. 1-42, Mar. 2008.</w:t>
      </w:r>
    </w:p>
    <w:p>
      <w:pPr>
        <w:spacing w:after="120" w:line="300"/>
        <w:ind w:left="540" w:hanging="540"/>
        <w:jc w:val="both"/>
      </w:pPr>
      <w:r>
        <w:rPr>
          <w:rFonts w:ascii="Times New Roman" w:cs="Times New Roman" w:eastAsia="Times New Roman" w:hAnsi="Times New Roman"/>
          <w:sz w:val="24"/>
          <w:szCs w:val="24"/>
        </w:rPr>
        <w:t xml:space="preserve">[11]  R. Litterman and J. Scheinkman, "Common factors affecting bond returns," Journal of Fixed Income, vol. 1, no. 1, pp. 54-61, Jun. 1991.</w:t>
      </w:r>
    </w:p>
    <w:p>
      <w:pPr>
        <w:spacing w:after="120" w:line="300"/>
        <w:ind w:left="540" w:hanging="540"/>
        <w:jc w:val="both"/>
      </w:pPr>
      <w:r>
        <w:rPr>
          <w:rFonts w:ascii="Times New Roman" w:cs="Times New Roman" w:eastAsia="Times New Roman" w:hAnsi="Times New Roman"/>
          <w:sz w:val="24"/>
          <w:szCs w:val="24"/>
        </w:rPr>
        <w:t xml:space="preserve">[12]  C. R. Nelson and A. F. Siegel, "Parsimonious modeling of yield curves," Journal of Business, vol. 60, no. 4, pp. 473-489, Oct. 1987.</w:t>
      </w:r>
    </w:p>
    <w:p>
      <w:pPr>
        <w:spacing w:after="120" w:line="300"/>
        <w:ind w:left="540" w:hanging="540"/>
        <w:jc w:val="both"/>
      </w:pPr>
      <w:r>
        <w:rPr>
          <w:rFonts w:ascii="Times New Roman" w:cs="Times New Roman" w:eastAsia="Times New Roman" w:hAnsi="Times New Roman"/>
          <w:sz w:val="24"/>
          <w:szCs w:val="24"/>
        </w:rPr>
        <w:t xml:space="preserve">[13]  L. E. O. Svensson, "Estimating and interpreting forward interest rates: Sweden 1992-1994," NBER Working Paper 4871, Sep. 1994.</w:t>
      </w:r>
    </w:p>
    <w:p>
      <w:pPr>
        <w:spacing w:after="120" w:line="300"/>
        <w:ind w:left="540" w:hanging="540"/>
        <w:jc w:val="both"/>
      </w:pPr>
      <w:r>
        <w:rPr>
          <w:rFonts w:ascii="Times New Roman" w:cs="Times New Roman" w:eastAsia="Times New Roman" w:hAnsi="Times New Roman"/>
          <w:sz w:val="24"/>
          <w:szCs w:val="24"/>
        </w:rPr>
        <w:t xml:space="preserve">[14]  F. X. Diebold and C. Li, "Forecasting the term structure of government bond yields," Journal of Econometrics, vol. 130, no. 2, pp. 337-364, Feb. 2006.</w:t>
      </w:r>
    </w:p>
    <w:p>
      <w:pPr>
        <w:spacing w:after="120" w:line="300"/>
        <w:ind w:left="540" w:hanging="540"/>
        <w:jc w:val="both"/>
      </w:pPr>
      <w:r>
        <w:rPr>
          <w:rFonts w:ascii="Times New Roman" w:cs="Times New Roman" w:eastAsia="Times New Roman" w:hAnsi="Times New Roman"/>
          <w:sz w:val="24"/>
          <w:szCs w:val="24"/>
        </w:rPr>
        <w:t xml:space="preserve">[15]  R. F. Engle, "Autoregressive conditional heteroskedasticity with estimates of the variance of United Kingdom inflation," Econometrica, vol. 50, no. 4, pp. 987-1007, Jul. 1982.</w:t>
      </w:r>
    </w:p>
    <w:p>
      <w:pPr>
        <w:spacing w:after="120" w:line="300"/>
        <w:ind w:left="540" w:hanging="540"/>
        <w:jc w:val="both"/>
      </w:pPr>
      <w:r>
        <w:rPr>
          <w:rFonts w:ascii="Times New Roman" w:cs="Times New Roman" w:eastAsia="Times New Roman" w:hAnsi="Times New Roman"/>
          <w:sz w:val="24"/>
          <w:szCs w:val="24"/>
        </w:rPr>
        <w:t xml:space="preserve">[16]  T. Bollerslev, "Generalized autoregressive conditional heteroskedasticity," Journal of Econometrics, vol. 31, no. 3, pp. 307-327, Apr. 1986.</w:t>
      </w:r>
    </w:p>
    <w:p>
      <w:pPr>
        <w:spacing w:after="120" w:line="300"/>
        <w:ind w:left="540" w:hanging="540"/>
        <w:jc w:val="both"/>
      </w:pPr>
      <w:r>
        <w:rPr>
          <w:rFonts w:ascii="Times New Roman" w:cs="Times New Roman" w:eastAsia="Times New Roman" w:hAnsi="Times New Roman"/>
          <w:sz w:val="24"/>
          <w:szCs w:val="24"/>
        </w:rPr>
        <w:t xml:space="preserve">[17]  T. Bollerslev, "A conditionally heteroskedastic time series model for speculative prices and rates of return," Review of Economics and Statistics, vol. 69, no. 3, pp. 542-547, Aug. 1987.</w:t>
      </w:r>
    </w:p>
    <w:p>
      <w:pPr>
        <w:spacing w:after="120" w:line="300"/>
        <w:ind w:left="540" w:hanging="540"/>
        <w:jc w:val="both"/>
      </w:pPr>
      <w:r>
        <w:rPr>
          <w:rFonts w:ascii="Times New Roman" w:cs="Times New Roman" w:eastAsia="Times New Roman" w:hAnsi="Times New Roman"/>
          <w:sz w:val="24"/>
          <w:szCs w:val="24"/>
        </w:rPr>
        <w:t xml:space="preserve">[18]  A. J. McNeil, R. Frey, and P. Embrechts, Quantitative Risk Management: Concepts, Techniques, and Tools, 2nd Ed., ch. 2, pp. 35-76, Princeton University Press, Princeton, NJ, 2015.</w:t>
      </w:r>
    </w:p>
    <w:p>
      <w:pPr>
        <w:spacing w:after="120" w:line="300"/>
        <w:ind w:left="540" w:hanging="540"/>
        <w:jc w:val="both"/>
      </w:pPr>
      <w:r>
        <w:rPr>
          <w:rFonts w:ascii="Times New Roman" w:cs="Times New Roman" w:eastAsia="Times New Roman" w:hAnsi="Times New Roman"/>
          <w:sz w:val="24"/>
          <w:szCs w:val="24"/>
        </w:rPr>
        <w:t xml:space="preserve">[19]  B. B. Mandelbrot and J. W. van Ness, "Fractional Brownian motions, fractional noises and applications," SIAM Review, vol. 10, no. 4, pp. 422-437, Oct. 1968.</w:t>
      </w:r>
    </w:p>
    <w:p>
      <w:pPr>
        <w:spacing w:after="120" w:line="300"/>
        <w:ind w:left="540" w:hanging="540"/>
        <w:jc w:val="both"/>
      </w:pPr>
      <w:r>
        <w:rPr>
          <w:rFonts w:ascii="Times New Roman" w:cs="Times New Roman" w:eastAsia="Times New Roman" w:hAnsi="Times New Roman"/>
          <w:sz w:val="24"/>
          <w:szCs w:val="24"/>
        </w:rPr>
        <w:t xml:space="preserve">[20]  H. E. Hurst, "Long-term storage capacity of reservoirs," Transactions of the American Society of Civil Engineers, vol. 116, pp. 770-808, 1951.</w:t>
      </w:r>
    </w:p>
    <w:p>
      <w:pPr>
        <w:spacing w:after="120" w:line="300"/>
        <w:ind w:left="540" w:hanging="540"/>
        <w:jc w:val="both"/>
      </w:pPr>
      <w:r>
        <w:rPr>
          <w:rFonts w:ascii="Times New Roman" w:cs="Times New Roman" w:eastAsia="Times New Roman" w:hAnsi="Times New Roman"/>
          <w:sz w:val="24"/>
          <w:szCs w:val="24"/>
        </w:rPr>
        <w:t xml:space="preserve">[21]  P. Kidger, J. Foster, X. Li, H. Oberhauser, and T. Lyons, "Neural SDEs as infinite-dimensional GANs," in Proc. 38th International Conference on Machine Learning (ICML), pp. 5453-5463, Jul. 2021.</w:t>
      </w:r>
    </w:p>
    <w:p>
      <w:pPr>
        <w:spacing w:after="120" w:line="300"/>
        <w:ind w:left="540" w:hanging="540"/>
        <w:jc w:val="both"/>
      </w:pPr>
      <w:r>
        <w:rPr>
          <w:rFonts w:ascii="Times New Roman" w:cs="Times New Roman" w:eastAsia="Times New Roman" w:hAnsi="Times New Roman"/>
          <w:sz w:val="24"/>
          <w:szCs w:val="24"/>
        </w:rPr>
        <w:t xml:space="preserve">[22]  R. T. Q. Chen, Y. Rubanova, J. Bettencourt, and D. Duvenaud, "Neural ordinary differential equations," in Proc. 32nd Conference on Neural Information Processing Systems (NeurIPS), pp. 6571-6583, Dec. 2018.</w:t>
      </w:r>
    </w:p>
    <w:p>
      <w:pPr>
        <w:spacing w:after="120" w:line="300"/>
        <w:ind w:left="540" w:hanging="540"/>
        <w:jc w:val="both"/>
      </w:pPr>
      <w:r>
        <w:rPr>
          <w:rFonts w:ascii="Times New Roman" w:cs="Times New Roman" w:eastAsia="Times New Roman" w:hAnsi="Times New Roman"/>
          <w:sz w:val="24"/>
          <w:szCs w:val="24"/>
        </w:rPr>
        <w:t xml:space="preserve">[23]  B. Tzen and M. Raginsky, "Theoretical guarantees for sampling and inference in generative models with latent diffusions," in Proc. 32nd Conference on Learning Theory (COLT), pp. 3084-3114, Jun. 2019.</w:t>
      </w:r>
    </w:p>
    <w:p>
      <w:pPr>
        <w:spacing w:after="120" w:line="300"/>
        <w:ind w:left="540" w:hanging="540"/>
        <w:jc w:val="both"/>
      </w:pPr>
      <w:r>
        <w:rPr>
          <w:rFonts w:ascii="Times New Roman" w:cs="Times New Roman" w:eastAsia="Times New Roman" w:hAnsi="Times New Roman"/>
          <w:sz w:val="24"/>
          <w:szCs w:val="24"/>
        </w:rPr>
        <w:t xml:space="preserve">[24]  P. Lewis, E. Perez, A. Piktus, F. Petroni, V. Karpukhin, N. Goyal, H. Küttler, M. Lewis, W. Yih, T. Rocktäschel, S. Riedel, and D. Kiela, "Retrieval-augmented generation for knowledge-intensive NLP tasks," in Proc. 34th NeurIPS, pp. 9459-9474, Dec. 2020.</w:t>
      </w:r>
    </w:p>
    <w:p>
      <w:pPr>
        <w:spacing w:after="120" w:line="300"/>
        <w:ind w:left="540" w:hanging="540"/>
        <w:jc w:val="both"/>
      </w:pPr>
      <w:r>
        <w:rPr>
          <w:rFonts w:ascii="Times New Roman" w:cs="Times New Roman" w:eastAsia="Times New Roman" w:hAnsi="Times New Roman"/>
          <w:sz w:val="24"/>
          <w:szCs w:val="24"/>
        </w:rPr>
        <w:t xml:space="preserve">[25]  Y. Gao, Y. Xiong, X. Gao, K. Jia, J. Pan, Y. Bi, Y. Dai, J. Sun, M. Wang, and H. Wang, "Retrieval-augmented generation for large language models: A survey," arXiv preprint arXiv:2312.10997, Dec. 2023.</w:t>
      </w:r>
    </w:p>
    <w:p>
      <w:pPr>
        <w:spacing w:after="120" w:line="300"/>
        <w:ind w:left="540" w:hanging="540"/>
        <w:jc w:val="both"/>
      </w:pPr>
      <w:r>
        <w:rPr>
          <w:rFonts w:ascii="Times New Roman" w:cs="Times New Roman" w:eastAsia="Times New Roman" w:hAnsi="Times New Roman"/>
          <w:sz w:val="24"/>
          <w:szCs w:val="24"/>
        </w:rPr>
        <w:t xml:space="preserve">[26]  D. Araci, "FinBERT: Financial sentiment analysis with pre-trained language models," arXiv preprint arXiv:1908.10063, Aug. 2019.</w:t>
      </w:r>
    </w:p>
    <w:p>
      <w:pPr>
        <w:spacing w:after="120" w:line="300"/>
        <w:ind w:left="540" w:hanging="540"/>
        <w:jc w:val="both"/>
      </w:pPr>
      <w:r>
        <w:rPr>
          <w:rFonts w:ascii="Times New Roman" w:cs="Times New Roman" w:eastAsia="Times New Roman" w:hAnsi="Times New Roman"/>
          <w:sz w:val="24"/>
          <w:szCs w:val="24"/>
        </w:rPr>
        <w:t xml:space="preserve">[27]  H. Yang, X.-Y. Liu, and C. D. Wang, "FinGPT: Open-source financial large language models," arXiv preprint arXiv:2306.06031, Jun. 2023.</w:t>
      </w:r>
    </w:p>
    <w:p>
      <w:pPr>
        <w:spacing w:after="120" w:line="300"/>
        <w:ind w:left="540" w:hanging="540"/>
        <w:jc w:val="both"/>
      </w:pPr>
      <w:r>
        <w:rPr>
          <w:rFonts w:ascii="Times New Roman" w:cs="Times New Roman" w:eastAsia="Times New Roman" w:hAnsi="Times New Roman"/>
          <w:sz w:val="24"/>
          <w:szCs w:val="24"/>
        </w:rPr>
        <w:t xml:space="preserve">[28]  S. Wu, O. Irsoy, S. Lu, V. Dabravolski, M. Dredze, S. Gehrmann, P. Kambadur, D. Rosenberg, and G. Mann, "BloombergGPT: A large language model for finance," arXiv preprint arXiv:2303.17564, Mar. 2023.</w:t>
      </w:r>
    </w:p>
    <w:p>
      <w:pPr>
        <w:spacing w:after="120" w:line="300"/>
        <w:ind w:left="540" w:hanging="540"/>
        <w:jc w:val="both"/>
      </w:pPr>
      <w:r>
        <w:rPr>
          <w:rFonts w:ascii="Times New Roman" w:cs="Times New Roman" w:eastAsia="Times New Roman" w:hAnsi="Times New Roman"/>
          <w:sz w:val="24"/>
          <w:szCs w:val="24"/>
        </w:rPr>
        <w:t xml:space="preserve">[29]  Gemma Team, Google DeepMind, "Gemma 3: Open models based on Gemini research and technology," Google Technical Report, Mar. 2025.</w:t>
      </w:r>
    </w:p>
    <w:p>
      <w:pPr>
        <w:spacing w:after="120" w:line="300"/>
        <w:ind w:left="540" w:hanging="540"/>
        <w:jc w:val="both"/>
      </w:pPr>
      <w:r>
        <w:rPr>
          <w:rFonts w:ascii="Times New Roman" w:cs="Times New Roman" w:eastAsia="Times New Roman" w:hAnsi="Times New Roman"/>
          <w:sz w:val="24"/>
          <w:szCs w:val="24"/>
        </w:rPr>
        <w:t xml:space="preserve">[30]  Y. Bang, S. Cahyawijaya, N. Lee, W. Dai, D. Su, B. Wilie, H. Lovenia, Z. Ji, T. Yu, W. Chung, Q. V. Do, Y. Xu, and P. Fung, "A multitask, multilingual, multimodal evaluation of ChatGPT on reasoning, hallucination, and interactivity," arXiv preprint arXiv:2302.04023, Feb. 2023.</w:t>
      </w:r>
    </w:p>
    <w:p>
      <w:pPr>
        <w:spacing w:after="120" w:line="300"/>
        <w:ind w:left="540" w:hanging="540"/>
        <w:jc w:val="both"/>
      </w:pPr>
      <w:r>
        <w:rPr>
          <w:rFonts w:ascii="Times New Roman" w:cs="Times New Roman" w:eastAsia="Times New Roman" w:hAnsi="Times New Roman"/>
          <w:sz w:val="24"/>
          <w:szCs w:val="24"/>
        </w:rPr>
        <w:t xml:space="preserve">[31]  L. Zheng, W.-L. Chiang, Y. Sheng, S. Zhuang, Z. Wu, Y. Zhuang, Z. Lin, Z. Li, D. Li, E. Xing, H. Zhang, J. E. Gonzalez, and I. Stoica, "Judging LLM-as-a-judge with MT-Bench and Chatbot Arena," in Proc. 37th NeurIPS, pp. 46595-46623, Dec. 2023.</w:t>
      </w:r>
    </w:p>
    <w:p>
      <w:pPr>
        <w:spacing w:after="120" w:line="300"/>
        <w:ind w:left="540" w:hanging="540"/>
        <w:jc w:val="both"/>
      </w:pPr>
      <w:r>
        <w:rPr>
          <w:rFonts w:ascii="Times New Roman" w:cs="Times New Roman" w:eastAsia="Times New Roman" w:hAnsi="Times New Roman"/>
          <w:sz w:val="24"/>
          <w:szCs w:val="24"/>
        </w:rPr>
        <w:t xml:space="preserve">[32]  Z. Chen, W. Chen, C. Smiley, S. Shah, I. Borova, D. Langdon, R. Moussa, M. Beane, T.-H. Huang, B. Routledge, and W. Y. Wang, "FinQA: A dataset of numerical reasoning over financial data," in Proc. 2021 Conference on Empirical Methods in Natural Language Processing (EMNLP), pp. 3697-3711, Nov. 2021.</w:t>
      </w:r>
    </w:p>
    <w:p>
      <w:pPr>
        <w:spacing w:after="120" w:line="300"/>
        <w:ind w:left="540" w:hanging="540"/>
        <w:jc w:val="both"/>
      </w:pPr>
      <w:r>
        <w:rPr>
          <w:rFonts w:ascii="Times New Roman" w:cs="Times New Roman" w:eastAsia="Times New Roman" w:hAnsi="Times New Roman"/>
          <w:sz w:val="24"/>
          <w:szCs w:val="24"/>
        </w:rPr>
        <w:t xml:space="preserve">[33]  P. H. Kupiec, "Techniques for verifying the accuracy of risk management models," Journal of Derivatives, vol. 3, no. 2, pp. 73-84, Dec. 1995.</w:t>
      </w:r>
    </w:p>
    <w:p>
      <w:pPr>
        <w:spacing w:after="120" w:line="300"/>
        <w:ind w:left="540" w:hanging="540"/>
        <w:jc w:val="both"/>
      </w:pPr>
      <w:r>
        <w:rPr>
          <w:rFonts w:ascii="Times New Roman" w:cs="Times New Roman" w:eastAsia="Times New Roman" w:hAnsi="Times New Roman"/>
          <w:sz w:val="24"/>
          <w:szCs w:val="24"/>
        </w:rPr>
        <w:t xml:space="preserve">[34]  U.S. Securities and Exchange Commission, "EDGAR full-text search API," 2024. [Online]. Available: https://efts.sec.gov</w:t>
      </w:r>
    </w:p>
    <w:p>
      <w:pPr>
        <w:spacing w:after="120" w:line="300"/>
        <w:ind w:left="540" w:hanging="540"/>
        <w:jc w:val="both"/>
      </w:pPr>
      <w:r>
        <w:rPr>
          <w:rFonts w:ascii="Times New Roman" w:cs="Times New Roman" w:eastAsia="Times New Roman" w:hAnsi="Times New Roman"/>
          <w:sz w:val="24"/>
          <w:szCs w:val="24"/>
        </w:rPr>
        <w:t xml:space="preserve">[35]  U.S. Commodity Futures Trading Commission, "Commitments of Traders historical data," 2024. [Online]. Available: https://www.cftc.gov/MarketReports/CommitmentsofTraders</w:t>
      </w:r>
    </w:p>
    <w:p>
      <w:pPr>
        <w:spacing w:after="120" w:line="300"/>
        <w:ind w:left="540" w:hanging="540"/>
        <w:jc w:val="both"/>
      </w:pPr>
      <w:r>
        <w:rPr>
          <w:rFonts w:ascii="Times New Roman" w:cs="Times New Roman" w:eastAsia="Times New Roman" w:hAnsi="Times New Roman"/>
          <w:sz w:val="24"/>
          <w:szCs w:val="24"/>
        </w:rPr>
        <w:t xml:space="preserve">[36]  Bank for International Settlements, "Effective exchange rate indices," 2024. [Online]. Available: https://www.bis.org/statistics/eer.htm</w:t>
      </w:r>
    </w:p>
    <w:p>
      <w:pPr>
        <w:spacing w:after="120" w:line="300"/>
        <w:ind w:left="540" w:hanging="540"/>
        <w:jc w:val="both"/>
      </w:pPr>
      <w:r>
        <w:rPr>
          <w:rFonts w:ascii="Times New Roman" w:cs="Times New Roman" w:eastAsia="Times New Roman" w:hAnsi="Times New Roman"/>
          <w:sz w:val="24"/>
          <w:szCs w:val="24"/>
        </w:rPr>
        <w:t xml:space="preserve">[37]  K. Leetaru and P. A. Schrodt, "GDELT: Global data on events, location, and tone, 1979-2012," in Proc. International Studies Association Annual Convention, Apr. 2013.</w:t>
      </w:r>
    </w:p>
    <w:p>
      <w:pPr>
        <w:pageBreakBefore/>
        <w:spacing w:after="360" w:before="480"/>
        <w:jc w:val="left"/>
      </w:pPr>
      <w:r>
        <w:rPr>
          <w:rFonts w:ascii="Times New Roman" w:cs="Times New Roman" w:eastAsia="Times New Roman" w:hAnsi="Times New Roman"/>
          <w:b/>
          <w:bCs/>
          <w:sz w:val="32"/>
          <w:szCs w:val="32"/>
        </w:rPr>
        <w:t xml:space="preserve">Appendix A : Source Code and Flowcharts</w:t>
      </w:r>
    </w:p>
    <w:p>
      <w:pPr>
        <w:spacing w:after="120" w:before="0" w:line="360"/>
        <w:ind w:firstLine="360"/>
        <w:jc w:val="both"/>
      </w:pPr>
      <w:r>
        <w:rPr>
          <w:rFonts w:ascii="Times New Roman" w:cs="Times New Roman" w:eastAsia="Times New Roman" w:hAnsi="Times New Roman"/>
          <w:sz w:val="24"/>
          <w:szCs w:val="24"/>
        </w:rPr>
        <w:t xml:space="preserve">Appendix A presents representative source-code excerpts and algorithmic flowcharts of the Hedgyyyboo numerical engine. The full source tree is available in the accompanying ZIP archive.</w:t>
      </w:r>
    </w:p>
    <w:p>
      <w:pPr>
        <w:spacing w:after="80" w:before="120"/>
      </w:pPr>
      <w:r>
        <w:rPr>
          <w:rFonts w:ascii="Times New Roman" w:cs="Times New Roman" w:eastAsia="Times New Roman" w:hAnsi="Times New Roman"/>
          <w:b/>
          <w:bCs/>
          <w:sz w:val="24"/>
          <w:szCs w:val="24"/>
        </w:rPr>
        <w:t xml:space="preserve">A.1 Ornstein–Uhlenbeck MLE estimator (Python)</w:t>
      </w:r>
    </w:p>
    <w:p>
      <w:pPr>
        <w:shd w:fill="F3F3F3" w:val="clear"/>
        <w:spacing w:after="240" w:before="80" w:line="280"/>
      </w:pPr>
      <w:r>
        <w:rPr>
          <w:rFonts w:ascii="Courier New" w:cs="Courier New" w:eastAsia="Courier New" w:hAnsi="Courier New"/>
          <w:sz w:val="20"/>
          <w:szCs w:val="20"/>
        </w:rPr>
        <w:t xml:space="preserve"># Appendix A.1 — OU-MLE estimator (Python)
import numpy as np
from scipy.stats import norm
def ou_mle(log_prices, dt=1/252):
    """
    Fit an Ornstein-Uhlenbeck process to a log-price series
    via maximum likelihood (equivalent to OLS on AR(1) form).
    Returns
    -------
    dict with keys: kappa, theta, sigma, half_life_days, t_stat
    """
    x = np.asarray(log_prices, dtype=np.float64)
    n = len(x) - 1
    x_t, x_tp = x[:-1], x[1:]
    sx, sy   = x_t.sum(), x_tp.sum()
    sxx, sxy = (x_t * x_t).sum(), (x_t * x_tp).sum()
    b_hat = (n * sxy - sx * sy) / (n * sxx - sx * sx)
    a_hat = x_tp.mean() - b_hat * x_t.mean()
    if b_hat &lt;= 0 or b_hat &gt;= 1:
        return {"status": "non-stationary"}
    kappa = -np.log(b_hat) / dt
    theta = a_hat / (1.0 - b_hat)
    resid = x_tp - a_hat - b_hat * x_t
    sd    = resid.std(ddof=2)
    sigma = sd * np.sqrt(2 * kappa / (1 - b_hat**2))
    t_stat = (b_hat - 1) / (sd / np.sqrt(((x_t - x_t.mean())**2).sum()))
    return {
        "kappa":         round(float(kappa), 4),
        "theta":         round(float(theta), 4),
        "sigma":         round(float(sigma), 4),
        "half_life_days": round(float(np.log(2) / kappa), 2),
        "t_stat":        round(float(t_stat), 2),
    }</w:t>
      </w:r>
    </w:p>
    <w:p>
      <w:pPr>
        <w:pageBreakBefore/>
        <w:spacing w:after="360" w:before="480"/>
        <w:jc w:val="left"/>
      </w:pPr>
      <w:r>
        <w:rPr>
          <w:rFonts w:ascii="Times New Roman" w:cs="Times New Roman" w:eastAsia="Times New Roman" w:hAnsi="Times New Roman"/>
          <w:b/>
          <w:bCs/>
          <w:sz w:val="32"/>
          <w:szCs w:val="32"/>
        </w:rPr>
        <w:t xml:space="preserve">Appendix B : Sample API Payloads</w:t>
      </w:r>
    </w:p>
    <w:p>
      <w:pPr>
        <w:spacing w:after="120" w:before="0" w:line="360"/>
        <w:ind w:firstLine="360"/>
        <w:jc w:val="both"/>
      </w:pPr>
      <w:r>
        <w:rPr>
          <w:rFonts w:ascii="Times New Roman" w:cs="Times New Roman" w:eastAsia="Times New Roman" w:hAnsi="Times New Roman"/>
          <w:sz w:val="24"/>
          <w:szCs w:val="24"/>
        </w:rPr>
        <w:t xml:space="preserve">Appendix B presents a representative request / response payload of the primary Hedgyyyboo REST endpoint.</w:t>
      </w:r>
    </w:p>
    <w:p>
      <w:pPr>
        <w:shd w:fill="F3F3F3" w:val="clear"/>
        <w:spacing w:after="240" w:before="80" w:line="280"/>
      </w:pPr>
      <w:r>
        <w:rPr>
          <w:rFonts w:ascii="Courier New" w:cs="Courier New" w:eastAsia="Courier New" w:hAnsi="Courier New"/>
          <w:sz w:val="20"/>
          <w:szCs w:val="20"/>
        </w:rPr>
        <w:t xml:space="preserve"># Appendix B — Sample API payload
# POST /api/morning-note?refresh=true
Request body:
    {}
Response body (truncated):
{
  "status": "ok",
  "generated_at": "2026-04-21T08:00:03+05:30",
  "briefing": "DXY firms as the 10Y UST breaks 4.40%...",
  "pdf_base64": "JVBERi0xLjQKJ...",
  "rag_context_tokens": 2874,
  "latency_ms": 7210
}</w:t>
      </w:r>
    </w:p>
    <w:p>
      <w:pPr>
        <w:pageBreakBefore/>
        <w:spacing w:after="360" w:before="480"/>
        <w:jc w:val="left"/>
      </w:pPr>
      <w:r>
        <w:rPr>
          <w:rFonts w:ascii="Times New Roman" w:cs="Times New Roman" w:eastAsia="Times New Roman" w:hAnsi="Times New Roman"/>
          <w:b/>
          <w:bCs/>
          <w:sz w:val="32"/>
          <w:szCs w:val="32"/>
        </w:rPr>
        <w:t xml:space="preserve">Appendix C : List of Components</w:t>
      </w:r>
    </w:p>
    <w:p>
      <w:pPr>
        <w:spacing w:after="120" w:before="0" w:line="360"/>
        <w:ind w:firstLine="360"/>
        <w:jc w:val="both"/>
      </w:pPr>
      <w:r>
        <w:rPr>
          <w:rFonts w:ascii="Times New Roman" w:cs="Times New Roman" w:eastAsia="Times New Roman" w:hAnsi="Times New Roman"/>
          <w:sz w:val="24"/>
          <w:szCs w:val="24"/>
        </w:rPr>
        <w:t xml:space="preserve">Appendix C enumerates every hardware / software component and external data source used in the Hedgyyyboo platform.</w:t>
      </w:r>
    </w:p>
    <w:p>
      <w:pPr>
        <w:spacing w:after="60" w:before="240"/>
        <w:jc w:val="center"/>
      </w:pPr>
      <w:r>
        <w:rPr>
          <w:rFonts w:ascii="Times New Roman" w:cs="Times New Roman" w:eastAsia="Times New Roman" w:hAnsi="Times New Roman"/>
          <w:i/>
          <w:iCs/>
          <w:sz w:val="20"/>
          <w:szCs w:val="20"/>
        </w:rPr>
        <w:t xml:space="preserve">Table C.1. Component and library inventory.</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200"/>
      </w:tblGrid>
      <w:tr>
        <w:tc>
          <w:tcPr>
            <w:tcW w:type="dxa" w:w="10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Sr. No.</w:t>
            </w:r>
          </w:p>
        </w:tc>
        <w:tc>
          <w:tcPr>
            <w:tcW w:type="dxa" w:w="34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Component / Library</w:t>
            </w:r>
          </w:p>
        </w:tc>
        <w:tc>
          <w:tcPr>
            <w:tcW w:type="dxa" w:w="4200"/>
            <w:tcBorders>
              <w:top w:val="single" w:color="000000" w:sz="4"/>
              <w:left w:val="single" w:color="000000" w:sz="4"/>
              <w:bottom w:val="single" w:color="000000" w:sz="4"/>
              <w:right w:val="single" w:color="000000" w:sz="4"/>
            </w:tcBorders>
            <w:shd w:fill="E6E6E6"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2"/>
                <w:szCs w:val="22"/>
              </w:rPr>
              <w:t xml:space="preserve">Role in Hedgyyyboo</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Apple MacBook Pro (M-series)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Development &amp; deployment hardware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Python 3.11 (CPython)</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Back-end language runtime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3</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FastAPI 0.115</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ASGI web framework</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4</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Uvicorn 0.32</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ASGI server</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5</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NumPy 1.26 / SciPy 1.14</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Numerical and optimisation routines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6</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scikit-learn 1.5</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PCA implementation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7</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APScheduler 3.10</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Morning-brief cron at 08:00 IST</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8</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SQLAlchemy 2.0.35 + SQLite 3</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Trade ledger persistence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9</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httpx 0.27</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HTTP client for OpenRouter</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10</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ReportLab 4</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PDF serialisation of morning brief</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11</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Node.js 24 / Next.js 16.1.6</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Front-end runtime and framework</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12</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React 19 / TypeScript 5.6</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Component library / typing</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13</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Tailwind CSS 4</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Utility-first styling</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14</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Recharts 2.12</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Chart rendering</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15</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Framer Motion 11</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UI transitions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16</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Yahoo Finance API (free)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FX + equity price feed</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17</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U.S. Treasury Daily Yield Curve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Sovereign rates feed</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18</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Google News RSS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News corpus (10 categories)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19</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SEC EDGAR Full-Text Search</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Filing ingestion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20</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CFTC Commitments of Traders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Futures positioning</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21</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BIS Effective Exchange Rates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Real effective exchange rate</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22</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GDELT Event Database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Geopolitical event stream</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23</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Forex Factory Calendar</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Macro calendar events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24</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OpenRouter API (free tier)</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2"/>
                <w:szCs w:val="22"/>
              </w:rPr>
              <w:t xml:space="preserve">Gemma-3n-E4B LLM inference</w:t>
            </w:r>
          </w:p>
        </w:tc>
      </w:tr>
    </w:tbl>
    <w:p>
      <w:pPr>
        <w:pageBreakBefore/>
        <w:spacing w:after="360" w:before="480"/>
        <w:jc w:val="left"/>
      </w:pPr>
      <w:r>
        <w:rPr>
          <w:rFonts w:ascii="Times New Roman" w:cs="Times New Roman" w:eastAsia="Times New Roman" w:hAnsi="Times New Roman"/>
          <w:b/>
          <w:bCs/>
          <w:sz w:val="32"/>
          <w:szCs w:val="32"/>
        </w:rPr>
        <w:t xml:space="preserve">Appendix D : List of Papers Presented and Published</w:t>
      </w:r>
    </w:p>
    <w:p>
      <w:pPr>
        <w:spacing w:after="120" w:before="0" w:line="360"/>
        <w:ind w:firstLine="360"/>
        <w:jc w:val="both"/>
      </w:pPr>
      <w:r>
        <w:rPr>
          <w:rFonts w:ascii="Times New Roman" w:cs="Times New Roman" w:eastAsia="Times New Roman" w:hAnsi="Times New Roman"/>
          <w:sz w:val="24"/>
          <w:szCs w:val="24"/>
        </w:rPr>
        <w:t xml:space="preserve">Appendix D lists papers and technical documents produced in the course of this capstone project.</w:t>
      </w:r>
    </w:p>
    <w:p>
      <w:pPr>
        <w:spacing w:after="120" w:line="300"/>
        <w:ind w:left="540" w:hanging="540"/>
      </w:pPr>
      <w:r>
        <w:rPr>
          <w:rFonts w:ascii="Times New Roman" w:cs="Times New Roman" w:eastAsia="Times New Roman" w:hAnsi="Times New Roman"/>
          <w:sz w:val="24"/>
          <w:szCs w:val="24"/>
        </w:rPr>
        <w:t xml:space="preserve">[P1]  P. Deshmukh, "Hedgyyyboo: A Retrieval-Augmented LLM Framework Coupled with Stochastic Calculus and Principal Component Factor Models for Real-Time Multi-Asset Portfolio Decision Support," manuscript prepared for an IEEE conference submission, April 2026.</w:t>
      </w:r>
    </w:p>
    <w:p>
      <w:pPr>
        <w:spacing w:after="120" w:line="300"/>
        <w:ind w:left="540" w:hanging="540"/>
      </w:pPr>
      <w:r>
        <w:rPr>
          <w:rFonts w:ascii="Times New Roman" w:cs="Times New Roman" w:eastAsia="Times New Roman" w:hAnsi="Times New Roman"/>
          <w:sz w:val="24"/>
          <w:szCs w:val="24"/>
        </w:rPr>
        <w:t xml:space="preserve">[P2]  P. Deshmukh, Hedgyyyboo Technical Report (this document), MPSTME, SVKM's NMIMS University, April 2026.</w:t>
      </w:r>
    </w:p>
    <w:sectPr>
      <w:headerReference w:type="default" r:id="rId9"/>
      <w:footerReference w:type="default" r:id="rId10"/>
      <w:pgSz w:w="12240" w:h="15840" w:orient="portrait"/>
      <w:pgMar w:top="144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000"/>
      </w:tabs>
      <w:spacing w:after="60"/>
    </w:pPr>
    <w:r>
      <w:rPr>
        <w:rFonts w:ascii="Times New Roman" w:cs="Times New Roman" w:eastAsia="Times New Roman" w:hAnsi="Times New Roman"/>
        <w:sz w:val="18"/>
        <w:szCs w:val="18"/>
      </w:rPr>
      <w:t xml:space="preserve">HEDGYYYBOO — MULTI-ASSET QUANTITATIVE ANALYTICS PLATFORM</w:t>
    </w:r>
    <w:r>
      <w:rPr>
        <w:rFonts w:ascii="Times New Roman" w:cs="Times New Roman" w:eastAsia="Times New Roman" w:hAnsi="Times New Roman"/>
        <w:sz w:val="18"/>
        <w:szCs w:val="18"/>
      </w:rPr>
      <w:t xml:space="preserve">	Academic Year 2025-26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tabs>
        <w:tab w:val="right" w:pos="9000"/>
      </w:tabs>
      <w:spacing w:after="60"/>
    </w:pPr>
    <w:r>
      <w:rPr>
        <w:rFonts w:ascii="Times New Roman" w:cs="Times New Roman" w:eastAsia="Times New Roman" w:hAnsi="Times New Roman"/>
        <w:sz w:val="18"/>
        <w:szCs w:val="18"/>
      </w:rPr>
      <w:t xml:space="preserve">HEDGYYYBOO — MULTI-ASSET QUANTITATIVE ANALYTICS PLATFORM</w:t>
    </w:r>
    <w:r>
      <w:rPr>
        <w:rFonts w:ascii="Times New Roman" w:cs="Times New Roman" w:eastAsia="Times New Roman" w:hAnsi="Times New Roman"/>
        <w:sz w:val="18"/>
        <w:szCs w:val="18"/>
      </w:rPr>
      <w:t xml:space="preserve">	Academic Year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c0e464f148c22fbb80f4b7cdf13a5133aa71d15.png"/><Relationship Id="rId12" Type="http://schemas.openxmlformats.org/officeDocument/2006/relationships/image" Target="media/50726c7c3552f51ebca386ac6abce0aa8a1b1e1e.png"/><Relationship Id="rId13" Type="http://schemas.openxmlformats.org/officeDocument/2006/relationships/image" Target="media/f88e9d62e0602b1147d21cc32239cc5b1ae80a3d.png"/><Relationship Id="rId14" Type="http://schemas.openxmlformats.org/officeDocument/2006/relationships/image" Target="media/5724d06d91aaf56344320cfb7776b0d347407264.png"/><Relationship Id="rId15" Type="http://schemas.openxmlformats.org/officeDocument/2006/relationships/image" Target="media/4cdfba1e85086afc15ad4894abd780da04235656.png"/><Relationship Id="rId16" Type="http://schemas.openxmlformats.org/officeDocument/2006/relationships/image" Target="media/1ee063dfa0434825cfb89470ba65cfc2d28d8520.png"/><Relationship Id="rId17" Type="http://schemas.openxmlformats.org/officeDocument/2006/relationships/image" Target="media/91bdc89ff3be07f3c1abeed80fa6f7e444b9e516.png"/><Relationship Id="rId18" Type="http://schemas.openxmlformats.org/officeDocument/2006/relationships/image" Target="media/75689676464ef6897237e299dafec1ffed641af7.png"/><Relationship Id="rId19" Type="http://schemas.openxmlformats.org/officeDocument/2006/relationships/image" Target="media/646a843a3c8095c8dd5e18a48cc861e66467fd2c.png"/><Relationship Id="rId20" Type="http://schemas.openxmlformats.org/officeDocument/2006/relationships/image" Target="media/fedc5ac7ee5f50b3682292d82b9459f38fdfe50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Hedgyyyboo Capstone Report</dc:title>
  <dc:creator>Prathmesh Deshmukh</dc:creator>
  <dc:description>NMIMS MPSTME Capstone black book report</dc:description>
  <cp:lastModifiedBy>Un-named</cp:lastModifiedBy>
  <cp:revision>1</cp:revision>
  <dcterms:created xsi:type="dcterms:W3CDTF">2026-04-21T06:33:57.463Z</dcterms:created>
  <dcterms:modified xsi:type="dcterms:W3CDTF">2026-04-21T06:33:57.463Z</dcterms:modified>
</cp:coreProperties>
</file>

<file path=docProps/custom.xml><?xml version="1.0" encoding="utf-8"?>
<Properties xmlns="http://schemas.openxmlformats.org/officeDocument/2006/custom-properties" xmlns:vt="http://schemas.openxmlformats.org/officeDocument/2006/docPropsVTypes"/>
</file>