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B0CA" w14:textId="77777777" w:rsidR="00675273" w:rsidRDefault="00000000">
      <w:pPr>
        <w:spacing w:after="120"/>
        <w:jc w:val="center"/>
      </w:pPr>
      <w:proofErr w:type="spellStart"/>
      <w:r>
        <w:rPr>
          <w:b/>
          <w:bCs/>
          <w:sz w:val="48"/>
          <w:szCs w:val="48"/>
        </w:rPr>
        <w:t>Hedgyyyboo</w:t>
      </w:r>
      <w:proofErr w:type="spellEnd"/>
      <w:r>
        <w:rPr>
          <w:b/>
          <w:bCs/>
          <w:sz w:val="48"/>
          <w:szCs w:val="48"/>
        </w:rPr>
        <w:t>: A Retrieval-Augmented LLM Framework Coupled with Stochastic Calculus and Principal Component Factor Models for Real-Time Multi-Asset Portfolio Decision Support</w:t>
      </w:r>
    </w:p>
    <w:p w14:paraId="5442FD63" w14:textId="77777777" w:rsidR="00675273" w:rsidRDefault="00000000">
      <w:pPr>
        <w:spacing w:after="200"/>
        <w:jc w:val="center"/>
      </w:pPr>
      <w:r>
        <w:rPr>
          <w:i/>
          <w:iCs/>
          <w:sz w:val="22"/>
          <w:szCs w:val="22"/>
        </w:rPr>
        <w:t>Integrating Ornstein–</w:t>
      </w:r>
      <w:proofErr w:type="spellStart"/>
      <w:r>
        <w:rPr>
          <w:i/>
          <w:iCs/>
          <w:sz w:val="22"/>
          <w:szCs w:val="22"/>
        </w:rPr>
        <w:t>Uhlenbeck</w:t>
      </w:r>
      <w:proofErr w:type="spellEnd"/>
      <w:r>
        <w:rPr>
          <w:i/>
          <w:iCs/>
          <w:sz w:val="22"/>
          <w:szCs w:val="22"/>
        </w:rPr>
        <w:t xml:space="preserve"> Mean Reversion, GARCH Tail Risk, Hull–White Swaption Pricing, and Gemma-3n Inference</w:t>
      </w:r>
    </w:p>
    <w:p w14:paraId="28FFAE29" w14:textId="4BEDFB23" w:rsidR="00675273" w:rsidRDefault="006B2BE9">
      <w:pPr>
        <w:spacing w:after="60"/>
        <w:jc w:val="center"/>
      </w:pPr>
      <w:r>
        <w:rPr>
          <w:b/>
          <w:bCs/>
          <w:sz w:val="22"/>
          <w:szCs w:val="22"/>
        </w:rPr>
        <w:t>Vedant Kasargod</w:t>
      </w:r>
    </w:p>
    <w:p w14:paraId="73C923A6" w14:textId="749FCB7E" w:rsidR="00675273" w:rsidRDefault="00000000">
      <w:pPr>
        <w:spacing w:after="40"/>
        <w:jc w:val="center"/>
      </w:pPr>
      <w:r>
        <w:rPr>
          <w:i/>
          <w:iCs/>
        </w:rPr>
        <w:t xml:space="preserve">Department of </w:t>
      </w:r>
      <w:r w:rsidR="006B2BE9">
        <w:rPr>
          <w:i/>
          <w:iCs/>
        </w:rPr>
        <w:t>Data Science</w:t>
      </w:r>
    </w:p>
    <w:p w14:paraId="06697F75" w14:textId="77777777" w:rsidR="00675273" w:rsidRDefault="00000000">
      <w:pPr>
        <w:spacing w:after="40"/>
        <w:jc w:val="center"/>
      </w:pPr>
      <w:r>
        <w:t>Independent Research Group</w:t>
      </w:r>
    </w:p>
    <w:p w14:paraId="214AB50B" w14:textId="77777777" w:rsidR="00675273" w:rsidRDefault="00675273">
      <w:pPr>
        <w:sectPr w:rsidR="00675273">
          <w:type w:val="continuous"/>
          <w:pgSz w:w="12240" w:h="15840"/>
          <w:pgMar w:top="1080" w:right="900" w:bottom="1440" w:left="900" w:header="708" w:footer="708" w:gutter="0"/>
          <w:cols w:space="720"/>
          <w:docGrid w:linePitch="360"/>
        </w:sectPr>
      </w:pPr>
    </w:p>
    <w:p w14:paraId="4A10300D" w14:textId="77777777" w:rsidR="00675273" w:rsidRDefault="00000000">
      <w:pPr>
        <w:spacing w:after="120"/>
        <w:jc w:val="both"/>
      </w:pPr>
      <w:r>
        <w:rPr>
          <w:b/>
          <w:bCs/>
          <w:i/>
          <w:iCs/>
        </w:rPr>
        <w:t>Abstract</w:t>
      </w:r>
      <w:r>
        <w:t xml:space="preserve">—Institutional portfolio management desks face a persistent bottleneck: quantitative signals arrive as numeric tensors (yield-curve principal components, implied-volatility surfaces, GARCH tail quantiles) that must be translated into narrative investment memoranda under strict latency and regulatory constraints. We present </w:t>
      </w:r>
      <w:proofErr w:type="spellStart"/>
      <w:r>
        <w:rPr>
          <w:b/>
          <w:bCs/>
        </w:rPr>
        <w:t>Hedgyyyboo</w:t>
      </w:r>
      <w:proofErr w:type="spellEnd"/>
      <w:r>
        <w:t>, an open-source multi-asset analytics platform that unifies (</w:t>
      </w:r>
      <w:proofErr w:type="spellStart"/>
      <w:r>
        <w:t>i</w:t>
      </w:r>
      <w:proofErr w:type="spellEnd"/>
      <w:r>
        <w:t xml:space="preserve">) classical stochastic-calculus pricing engines, (ii) factor-model dimensionality reduction of the sovereign yield curve, (iii) GARCH-based tail-risk attribution, and (iv) a retrieval-augmented large-language-model (RAG-LLM) layer backed by Google's Gemma-3n-E4B-it served through </w:t>
      </w:r>
      <w:proofErr w:type="spellStart"/>
      <w:r>
        <w:t>OpenRouter</w:t>
      </w:r>
      <w:proofErr w:type="spellEnd"/>
      <w:r>
        <w:t xml:space="preserve">. The platform exposes 53 </w:t>
      </w:r>
      <w:proofErr w:type="spellStart"/>
      <w:r>
        <w:t>FastAPI</w:t>
      </w:r>
      <w:proofErr w:type="spellEnd"/>
      <w:r>
        <w:t xml:space="preserve"> endpoints organized across six phases and drives three specialized front-end desks (Main Dashboard, Fixed Income, FX Macro) rendered with Next.js 16. We formalize the mathematical pipeline, derive closed-form and Monte-Carlo estimators for each analytic, and benchmark the end-to-end system on two years of daily data across 28 G10+EM FX pairs, the U.S. Treasury curve, and a 50-stock equity universe. Empirically, PCA captures ≥ 98.7% of yield-curve variance in three factors (Level, Slope, Curvature); the Ornstein–</w:t>
      </w:r>
      <w:proofErr w:type="spellStart"/>
      <w:r>
        <w:t>Uhlenbeck</w:t>
      </w:r>
      <w:proofErr w:type="spellEnd"/>
      <w:r>
        <w:t xml:space="preserve"> MLE produces half-life estimates within ±1.4 days of bootstrap ground truth; and the RAG pipeline generates a complete morning macro brief in 7.2 ± 1.1 s at zero-dollar marginal cost on the Gemma-3n free tier. We further demonstrate that merging the system prompt into the user turn is a necessary workaround for Gemma-3n's disabled developer role—a subtlety absent from prior RAG literature. The system is reproducible, avoids vendor lock-in, and demonstrates that a single commodity laptop can now host a research-grade multi-asset desk.</w:t>
      </w:r>
    </w:p>
    <w:p w14:paraId="6A104061" w14:textId="77777777" w:rsidR="00675273" w:rsidRDefault="00000000">
      <w:pPr>
        <w:spacing w:after="200"/>
        <w:jc w:val="both"/>
      </w:pPr>
      <w:r>
        <w:rPr>
          <w:b/>
          <w:bCs/>
          <w:i/>
          <w:iCs/>
        </w:rPr>
        <w:t>Index Terms</w:t>
      </w:r>
      <w:r>
        <w:t>—Quantitative finance, large language models, retrieval-augmented generation, Ornstein–</w:t>
      </w:r>
      <w:proofErr w:type="spellStart"/>
      <w:r>
        <w:t>Uhlenbeck</w:t>
      </w:r>
      <w:proofErr w:type="spellEnd"/>
      <w:r>
        <w:t xml:space="preserve"> process, GARCH, principal component analysis, Hull–White model, Heston stochastic volatility, neural SDE, Hurst exponent, yield-curve factor model, algorithmic trading.</w:t>
      </w:r>
    </w:p>
    <w:p w14:paraId="0C82CB64" w14:textId="77777777" w:rsidR="00675273" w:rsidRDefault="00000000">
      <w:pPr>
        <w:spacing w:before="240" w:after="120"/>
        <w:jc w:val="center"/>
      </w:pPr>
      <w:r>
        <w:rPr>
          <w:b/>
          <w:bCs/>
        </w:rPr>
        <w:t>I.  INTRODUCTION</w:t>
      </w:r>
    </w:p>
    <w:p w14:paraId="10C1825D" w14:textId="77777777" w:rsidR="00675273" w:rsidRDefault="00000000">
      <w:pPr>
        <w:spacing w:after="60"/>
        <w:ind w:firstLine="200"/>
        <w:jc w:val="both"/>
      </w:pPr>
      <w:r>
        <w:t>Modern portfolio managers (PMs) consume three fundamentally heterogeneous data modalities every trading morning: (1) structured market tensors (prices, volumes, implied-vol surfaces), (2) unstructured news and regulatory filings, and (3) house-level quantitative signals produced by internal research. Bridging these modalities has historically required a team of quants, strategists, and sell-side analysts. The 2023–2025 explosion of instruction-tuned large language models (LLMs)—</w:t>
      </w:r>
      <w:proofErr w:type="spellStart"/>
      <w:r>
        <w:t>BloombergGPT</w:t>
      </w:r>
      <w:proofErr w:type="spellEnd"/>
      <w:r>
        <w:t xml:space="preserve"> [28], </w:t>
      </w:r>
      <w:proofErr w:type="spellStart"/>
      <w:r>
        <w:t>FinGPT</w:t>
      </w:r>
      <w:proofErr w:type="spellEnd"/>
      <w:r>
        <w:t xml:space="preserve"> [27], and open-weight Gemma [29]—has collapsed this stack, but three open problems remain.</w:t>
      </w:r>
    </w:p>
    <w:p w14:paraId="6AB2E4C0" w14:textId="77777777" w:rsidR="00675273" w:rsidRDefault="00000000">
      <w:pPr>
        <w:spacing w:after="60"/>
        <w:ind w:firstLine="200"/>
        <w:jc w:val="both"/>
      </w:pPr>
      <w:r>
        <w:t>First, numerical grounding. Raw LLM outputs are prone to hallucinated prices and fabricated risk statistics [30]. Retrieval-augmented generation (RAG) [24] addresses static corpora but not live quantitative signals. Second, model heterogeneity. A complete desk requires a different stochastic model per asset class: Ornstein–</w:t>
      </w:r>
      <w:proofErr w:type="spellStart"/>
      <w:r>
        <w:t>Uhlenbeck</w:t>
      </w:r>
      <w:proofErr w:type="spellEnd"/>
      <w:r>
        <w:t xml:space="preserve"> for FX mean reversion [5], Hull–White for rates [3], Heston for equity options [2]. No prior open framework glues these to an LLM. Third, cost and rate limits. Free-tier inference (</w:t>
      </w:r>
      <w:proofErr w:type="spellStart"/>
      <w:r>
        <w:t>OpenRouter</w:t>
      </w:r>
      <w:proofErr w:type="spellEnd"/>
      <w:r>
        <w:t xml:space="preserve">, </w:t>
      </w:r>
      <w:proofErr w:type="spellStart"/>
      <w:r>
        <w:t>Groq</w:t>
      </w:r>
      <w:proofErr w:type="spellEnd"/>
      <w:r>
        <w:t>) caps requests at 20–200 RPM, invalidating naïve "LLM-on-refresh" designs.</w:t>
      </w:r>
    </w:p>
    <w:p w14:paraId="6BFE9814" w14:textId="77777777" w:rsidR="00675273" w:rsidRDefault="00000000">
      <w:pPr>
        <w:spacing w:before="140" w:after="60"/>
      </w:pPr>
      <w:r>
        <w:rPr>
          <w:i/>
          <w:iCs/>
        </w:rPr>
        <w:t>A. Contributions</w:t>
      </w:r>
    </w:p>
    <w:p w14:paraId="211D1A8C" w14:textId="77777777" w:rsidR="00675273" w:rsidRDefault="00000000">
      <w:pPr>
        <w:spacing w:after="60"/>
        <w:jc w:val="both"/>
      </w:pPr>
      <w:r>
        <w:t>This paper makes four contributions:</w:t>
      </w:r>
    </w:p>
    <w:p w14:paraId="74903A42" w14:textId="77777777" w:rsidR="00675273" w:rsidRDefault="00000000">
      <w:pPr>
        <w:spacing w:after="60"/>
        <w:jc w:val="both"/>
      </w:pPr>
      <w:r>
        <w:t>C1. A reproducible reference architecture (Fig. 1) that couples seven classical stochastic models with a rate-limited RAG-LLM layer on the free-tier Gemma-3n-E4B-it model.</w:t>
      </w:r>
    </w:p>
    <w:p w14:paraId="5C17E82A" w14:textId="77777777" w:rsidR="00675273" w:rsidRDefault="00000000">
      <w:pPr>
        <w:spacing w:after="60"/>
        <w:jc w:val="both"/>
      </w:pPr>
      <w:r>
        <w:t>C2. Closed-form derivations and validated estimators for each analytic, with a consolidated notation table (Table I).</w:t>
      </w:r>
    </w:p>
    <w:p w14:paraId="1C328C92" w14:textId="77777777" w:rsidR="00675273" w:rsidRDefault="00000000">
      <w:pPr>
        <w:spacing w:after="60"/>
        <w:jc w:val="both"/>
      </w:pPr>
      <w:r>
        <w:t>C3. An empirical evaluation across Treasuries, FX, and equities demonstrating yield-curve factor variance of 98.7%, OU half-life error &lt; 1.4 days, and morning-brief generation latency of 7.2 s.</w:t>
      </w:r>
    </w:p>
    <w:p w14:paraId="5A477370" w14:textId="77777777" w:rsidR="00675273" w:rsidRDefault="00000000">
      <w:pPr>
        <w:spacing w:after="60"/>
        <w:jc w:val="both"/>
      </w:pPr>
      <w:r>
        <w:t>C4. Three engineering lessons: (a) Gemma-3n requires system-prompt merging; (b) caching the morning brief avoids rate-limit storms; (c) a strict overflow-hidden CSS pattern is sufficient to constrain D3/Recharts canvases inside fixed-grid desks.</w:t>
      </w:r>
    </w:p>
    <w:p w14:paraId="02246496" w14:textId="77777777" w:rsidR="00675273" w:rsidRDefault="00000000">
      <w:pPr>
        <w:spacing w:after="60"/>
        <w:ind w:firstLine="200"/>
        <w:jc w:val="both"/>
      </w:pPr>
      <w:r>
        <w:lastRenderedPageBreak/>
        <w:t>The remainder of the paper is organized as follows. Section II reviews related work. Section III describes the system architecture. Section IV formalizes the mathematical framework. Section V details the LLM integration layer. Sections VI and VII present the experimental setup and results. Section VIII discusses limitations and threats to validity. Section IX concludes.</w:t>
      </w:r>
    </w:p>
    <w:p w14:paraId="49337A40" w14:textId="77777777" w:rsidR="00675273" w:rsidRDefault="00000000">
      <w:pPr>
        <w:spacing w:before="240" w:after="120"/>
        <w:jc w:val="center"/>
      </w:pPr>
      <w:r>
        <w:rPr>
          <w:b/>
          <w:bCs/>
        </w:rPr>
        <w:t>II.  RELATED WORK</w:t>
      </w:r>
    </w:p>
    <w:p w14:paraId="56E5C616" w14:textId="77777777" w:rsidR="00675273" w:rsidRDefault="00000000">
      <w:pPr>
        <w:spacing w:after="60"/>
        <w:ind w:firstLine="200"/>
        <w:jc w:val="both"/>
      </w:pPr>
      <w:r>
        <w:t xml:space="preserve">We organize the literature along five axes relevant to </w:t>
      </w:r>
      <w:proofErr w:type="spellStart"/>
      <w:r>
        <w:t>Hedgyyyboo</w:t>
      </w:r>
      <w:proofErr w:type="spellEnd"/>
      <w:r>
        <w:t>.</w:t>
      </w:r>
    </w:p>
    <w:p w14:paraId="47ED2CDB" w14:textId="77777777" w:rsidR="00675273" w:rsidRDefault="00000000">
      <w:pPr>
        <w:spacing w:before="140" w:after="60"/>
      </w:pPr>
      <w:r>
        <w:rPr>
          <w:i/>
          <w:iCs/>
        </w:rPr>
        <w:t>A. Stochastic Models in Quantitative Finance</w:t>
      </w:r>
    </w:p>
    <w:p w14:paraId="70DEB8DA" w14:textId="77777777" w:rsidR="00675273" w:rsidRDefault="00000000">
      <w:pPr>
        <w:spacing w:after="60"/>
        <w:ind w:firstLine="200"/>
        <w:jc w:val="both"/>
      </w:pPr>
      <w:r>
        <w:t xml:space="preserve">The Black–Scholes equation [1] remains the cornerstone of option pricing. Heston's stochastic-volatility extension [2] admits a closed-form characteristic function and is the de facto equity-options benchmark; </w:t>
      </w:r>
      <w:proofErr w:type="spellStart"/>
      <w:r>
        <w:t>Gatheral</w:t>
      </w:r>
      <w:proofErr w:type="spellEnd"/>
      <w:r>
        <w:t xml:space="preserve"> [8] documents its practical calibration. For interest-rate derivatives, the Vasicek [4] and Hull–White [3] one-factor short-rate models dominate sell-side pricing of Bermudan swaptions because of their analytic bond-price formula and easy calibration to the ATM-swaption cube. The Ornstein–</w:t>
      </w:r>
      <w:proofErr w:type="spellStart"/>
      <w:r>
        <w:t>Uhlenbeck</w:t>
      </w:r>
      <w:proofErr w:type="spellEnd"/>
      <w:r>
        <w:t xml:space="preserve"> process [5], a Gaussian mean-reverting diffusion, underpins cointegrated FX pairs trading (</w:t>
      </w:r>
      <w:proofErr w:type="spellStart"/>
      <w:r>
        <w:t>Vidyamurthy</w:t>
      </w:r>
      <w:proofErr w:type="spellEnd"/>
      <w:r>
        <w:t xml:space="preserve"> [6]); the maximum-likelihood estimator for discrete-time OU appears in [7].</w:t>
      </w:r>
    </w:p>
    <w:p w14:paraId="2B668798" w14:textId="77777777" w:rsidR="00675273" w:rsidRDefault="00000000">
      <w:pPr>
        <w:spacing w:before="140" w:after="60"/>
      </w:pPr>
      <w:r>
        <w:rPr>
          <w:i/>
          <w:iCs/>
        </w:rPr>
        <w:t>B. Factor Models and Yield-Curve Dimensionality Reduction</w:t>
      </w:r>
    </w:p>
    <w:p w14:paraId="176CAA90" w14:textId="77777777" w:rsidR="00675273" w:rsidRDefault="00000000">
      <w:pPr>
        <w:spacing w:after="60"/>
        <w:ind w:firstLine="200"/>
        <w:jc w:val="both"/>
      </w:pPr>
      <w:proofErr w:type="spellStart"/>
      <w:r>
        <w:t>Litterman</w:t>
      </w:r>
      <w:proofErr w:type="spellEnd"/>
      <w:r>
        <w:t xml:space="preserve"> and </w:t>
      </w:r>
      <w:proofErr w:type="spellStart"/>
      <w:r>
        <w:t>Scheinkman</w:t>
      </w:r>
      <w:proofErr w:type="spellEnd"/>
      <w:r>
        <w:t xml:space="preserve"> [11] showed that three principal components—Level, Slope, Curvature—explain &gt;98% of U.S. Treasury returns. Nelson–Siegel [12] and its Svensson extension [13] provide parametric alternatives. Diebold and Li [14] use dynamic Nelson–Siegel for term-structure forecasting. Our implementation prefers PCA over Nelson–Siegel because it avoids non-convex optimization at the 08:00 IST </w:t>
      </w:r>
      <w:proofErr w:type="spellStart"/>
      <w:r>
        <w:t>cron</w:t>
      </w:r>
      <w:proofErr w:type="spellEnd"/>
      <w:r>
        <w:t>.</w:t>
      </w:r>
    </w:p>
    <w:p w14:paraId="3ED80FB5" w14:textId="77777777" w:rsidR="00675273" w:rsidRDefault="00000000">
      <w:pPr>
        <w:spacing w:before="140" w:after="60"/>
      </w:pPr>
      <w:r>
        <w:rPr>
          <w:i/>
          <w:iCs/>
        </w:rPr>
        <w:t xml:space="preserve">C. Volatility and Tail-Risk </w:t>
      </w:r>
      <w:proofErr w:type="spellStart"/>
      <w:r>
        <w:rPr>
          <w:i/>
          <w:iCs/>
        </w:rPr>
        <w:t>Modeling</w:t>
      </w:r>
      <w:proofErr w:type="spellEnd"/>
    </w:p>
    <w:p w14:paraId="01DF71D8" w14:textId="77777777" w:rsidR="00675273" w:rsidRDefault="00000000">
      <w:pPr>
        <w:spacing w:after="60"/>
        <w:ind w:firstLine="200"/>
        <w:jc w:val="both"/>
      </w:pPr>
      <w:r>
        <w:t xml:space="preserve">Engle's ARCH [15] and Bollerslev's GARCH [16] parameterize heteroskedastic returns. Student-t-GARCH [17] addresses fat tails. McNeil, Frey, and </w:t>
      </w:r>
      <w:proofErr w:type="spellStart"/>
      <w:r>
        <w:t>Embrechts</w:t>
      </w:r>
      <w:proofErr w:type="spellEnd"/>
      <w:r>
        <w:t xml:space="preserve"> [18] provide the canonical treatment of </w:t>
      </w:r>
      <w:proofErr w:type="spellStart"/>
      <w:r>
        <w:t>VaR</w:t>
      </w:r>
      <w:proofErr w:type="spellEnd"/>
      <w:r>
        <w:t>/ES estimation used in our tail-risk module. Mandelbrot and van Ness [19] introduced the Hurst exponent H; its rescaled-range estimator [20] distinguishes trending (H &gt; 0.5) from mean-reverting (H &lt; 0.5) regimes and is a standard diagnostic in statistical arbitrage.</w:t>
      </w:r>
    </w:p>
    <w:p w14:paraId="741F0BD6" w14:textId="77777777" w:rsidR="00675273" w:rsidRDefault="00000000">
      <w:pPr>
        <w:spacing w:before="140" w:after="60"/>
      </w:pPr>
      <w:r>
        <w:rPr>
          <w:i/>
          <w:iCs/>
        </w:rPr>
        <w:t>D. Neural Stochastic Differential Equations</w:t>
      </w:r>
    </w:p>
    <w:p w14:paraId="6615FC90" w14:textId="77777777" w:rsidR="00675273" w:rsidRDefault="00000000">
      <w:pPr>
        <w:spacing w:after="60"/>
        <w:ind w:firstLine="200"/>
        <w:jc w:val="both"/>
      </w:pPr>
      <w:r>
        <w:t xml:space="preserve">Kidger et al. [21] introduced Neural SDEs as generative time-series models, providing the drift–diffusion decomposition we use as an LLM-free sanity check on the Gemma-3n forward-path prediction. Chen et al.'s Neural ODEs [22] are the continuous-time precursor. </w:t>
      </w:r>
      <w:proofErr w:type="spellStart"/>
      <w:r>
        <w:t>Tzen</w:t>
      </w:r>
      <w:proofErr w:type="spellEnd"/>
      <w:r>
        <w:t xml:space="preserve"> and </w:t>
      </w:r>
      <w:proofErr w:type="spellStart"/>
      <w:r>
        <w:t>Raginsky</w:t>
      </w:r>
      <w:proofErr w:type="spellEnd"/>
      <w:r>
        <w:t xml:space="preserve"> [23] supply the theoretical bridge between SDEs and variational inference.</w:t>
      </w:r>
    </w:p>
    <w:p w14:paraId="74871FC3" w14:textId="77777777" w:rsidR="00675273" w:rsidRDefault="00000000">
      <w:pPr>
        <w:spacing w:before="140" w:after="60"/>
      </w:pPr>
      <w:r>
        <w:rPr>
          <w:i/>
          <w:iCs/>
        </w:rPr>
        <w:t>E. LLMs in Finance and Retrieval-Augmented Generation</w:t>
      </w:r>
    </w:p>
    <w:p w14:paraId="7EDA7AEA" w14:textId="77777777" w:rsidR="00675273" w:rsidRDefault="00000000">
      <w:pPr>
        <w:spacing w:after="60"/>
        <w:ind w:firstLine="200"/>
        <w:jc w:val="both"/>
      </w:pPr>
      <w:proofErr w:type="spellStart"/>
      <w:r>
        <w:t>FinBERT</w:t>
      </w:r>
      <w:proofErr w:type="spellEnd"/>
      <w:r>
        <w:t xml:space="preserve"> [26] and </w:t>
      </w:r>
      <w:proofErr w:type="spellStart"/>
      <w:r>
        <w:t>FinGPT</w:t>
      </w:r>
      <w:proofErr w:type="spellEnd"/>
      <w:r>
        <w:t xml:space="preserve"> [27] are encoder/decoder backbones trained on financial text. </w:t>
      </w:r>
      <w:proofErr w:type="spellStart"/>
      <w:r>
        <w:t>BloombergGPT</w:t>
      </w:r>
      <w:proofErr w:type="spellEnd"/>
      <w:r>
        <w:t xml:space="preserve"> [28] is a 50 B closed-weight model with reported SOTA on </w:t>
      </w:r>
      <w:proofErr w:type="spellStart"/>
      <w:r>
        <w:t>FiQA</w:t>
      </w:r>
      <w:proofErr w:type="spellEnd"/>
      <w:r>
        <w:t xml:space="preserve">. The </w:t>
      </w:r>
      <w:r>
        <w:t xml:space="preserve">open-weight Gemma-3n-E4B-it model [29], released in March 2025 and hosted free on </w:t>
      </w:r>
      <w:proofErr w:type="spellStart"/>
      <w:r>
        <w:t>OpenRouter</w:t>
      </w:r>
      <w:proofErr w:type="spellEnd"/>
      <w:r>
        <w:t xml:space="preserve">, occupies an attractive Pareto point. RAG was formalized by Lewis et al. [24]; Gao et al. [25] provide a recent survey. </w:t>
      </w:r>
      <w:proofErr w:type="spellStart"/>
      <w:r>
        <w:t>Hedgyyyboo</w:t>
      </w:r>
      <w:proofErr w:type="spellEnd"/>
      <w:r>
        <w:t xml:space="preserve"> differs from prior finance-RAG in that the retrieved context is not a static corpus but a live computation graph of seven stochastic-model outputs, refreshed each morning.</w:t>
      </w:r>
    </w:p>
    <w:p w14:paraId="1EAA659C" w14:textId="77777777" w:rsidR="00675273" w:rsidRDefault="00000000">
      <w:pPr>
        <w:spacing w:before="240" w:after="120"/>
        <w:jc w:val="center"/>
      </w:pPr>
      <w:r>
        <w:rPr>
          <w:b/>
          <w:bCs/>
        </w:rPr>
        <w:t>III.  SYSTEM ARCHITECTURE</w:t>
      </w:r>
    </w:p>
    <w:p w14:paraId="0A08DC3B" w14:textId="77777777" w:rsidR="00675273" w:rsidRDefault="00000000">
      <w:pPr>
        <w:spacing w:after="60"/>
        <w:ind w:firstLine="200"/>
        <w:jc w:val="both"/>
      </w:pPr>
      <w:r>
        <w:t>Fig. 1 shows the three-tier architecture: an ingestion layer (left), an analytic core (</w:t>
      </w:r>
      <w:proofErr w:type="spellStart"/>
      <w:r>
        <w:t>center</w:t>
      </w:r>
      <w:proofErr w:type="spellEnd"/>
      <w:r>
        <w:t xml:space="preserve">), and a presentation layer (right). The analytic core is split into a numeric sub-core (classical stochastic models) and an LLM sub-core (Gemma-3n via </w:t>
      </w:r>
      <w:proofErr w:type="spellStart"/>
      <w:r>
        <w:t>OpenRouter</w:t>
      </w:r>
      <w:proofErr w:type="spellEnd"/>
      <w:r>
        <w:t xml:space="preserve">). All components are orchestrated by </w:t>
      </w:r>
      <w:proofErr w:type="spellStart"/>
      <w:r>
        <w:t>FastAPI</w:t>
      </w:r>
      <w:proofErr w:type="spellEnd"/>
      <w:r>
        <w:t xml:space="preserve"> with an </w:t>
      </w:r>
      <w:proofErr w:type="spellStart"/>
      <w:r>
        <w:t>APScheduler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at 08:00 IST for the daily morning brief.</w:t>
      </w:r>
    </w:p>
    <w:p w14:paraId="10F56CA6" w14:textId="77777777" w:rsidR="006752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5CC275F" wp14:editId="10E57F64">
            <wp:extent cx="3541330" cy="2476500"/>
            <wp:effectExtent l="0" t="0" r="2540" b="0"/>
            <wp:docPr id="1" name="fig1_architecture.png" descr="Fig. 1. Hedgyyyboo three-tier architecture. Ingestion (gray) feeds the numeric sub-core (blue). Outputs concatenate into a RAG context passed to Gemma-3n-E4B-it (orange), whose narrative is rendered in three React desks (green)." title="Fig. 1. Hedgyyyboo three-tier architecture. Ingestion (gray) feeds the numeric sub-core (blue). Outputs concatenate into a RAG context passed to Gemma-3n-E4B-it (orange), whose narrative is rendered in three React desks (gree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082" cy="249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CC09" w14:textId="77777777" w:rsidR="00675273" w:rsidRDefault="00000000">
      <w:pPr>
        <w:spacing w:after="160"/>
        <w:jc w:val="both"/>
      </w:pPr>
      <w:r>
        <w:rPr>
          <w:sz w:val="18"/>
          <w:szCs w:val="18"/>
        </w:rPr>
        <w:t xml:space="preserve">Fig. 1. </w:t>
      </w:r>
      <w:proofErr w:type="spellStart"/>
      <w:r>
        <w:rPr>
          <w:sz w:val="18"/>
          <w:szCs w:val="18"/>
        </w:rPr>
        <w:t>Hedgyyyboo</w:t>
      </w:r>
      <w:proofErr w:type="spellEnd"/>
      <w:r>
        <w:rPr>
          <w:sz w:val="18"/>
          <w:szCs w:val="18"/>
        </w:rPr>
        <w:t xml:space="preserve"> three-tier architecture. Ingestion (</w:t>
      </w:r>
      <w:proofErr w:type="spellStart"/>
      <w:r>
        <w:rPr>
          <w:sz w:val="18"/>
          <w:szCs w:val="18"/>
        </w:rPr>
        <w:t>gray</w:t>
      </w:r>
      <w:proofErr w:type="spellEnd"/>
      <w:r>
        <w:rPr>
          <w:sz w:val="18"/>
          <w:szCs w:val="18"/>
        </w:rPr>
        <w:t>) feeds the numeric sub-core (blue). Outputs concatenate into a RAG context passed to Gemma-3n-E4B-it (orange), whose narrative is rendered in three React desks (green).</w:t>
      </w:r>
    </w:p>
    <w:p w14:paraId="208143CC" w14:textId="77777777" w:rsidR="00675273" w:rsidRDefault="00000000">
      <w:pPr>
        <w:spacing w:before="140" w:after="60"/>
      </w:pPr>
      <w:r>
        <w:rPr>
          <w:i/>
          <w:iCs/>
        </w:rPr>
        <w:t>A. Ingestion Layer</w:t>
      </w:r>
    </w:p>
    <w:p w14:paraId="1A12AA60" w14:textId="77777777" w:rsidR="00675273" w:rsidRDefault="00000000">
      <w:pPr>
        <w:spacing w:after="60"/>
        <w:ind w:firstLine="200"/>
        <w:jc w:val="both"/>
      </w:pPr>
      <w:r>
        <w:t>Twelve adapters pull from Google News RSS, the U.S. Treasury Daily Yield Curve, SEC EDGAR [35], CFTC Commitments-of-Traders [36], BIS REER [37], GDELT [38], and Forex Factory calendar. All feeds are normalized to UTC timestamps and cached in-process.</w:t>
      </w:r>
    </w:p>
    <w:p w14:paraId="591EE05E" w14:textId="77777777" w:rsidR="00675273" w:rsidRDefault="00000000">
      <w:pPr>
        <w:spacing w:before="140" w:after="60"/>
      </w:pPr>
      <w:r>
        <w:rPr>
          <w:i/>
          <w:iCs/>
        </w:rPr>
        <w:t>B. Numeric Sub-Core</w:t>
      </w:r>
    </w:p>
    <w:p w14:paraId="10925888" w14:textId="77777777" w:rsidR="00675273" w:rsidRDefault="00000000">
      <w:pPr>
        <w:spacing w:after="60"/>
        <w:ind w:firstLine="200"/>
        <w:jc w:val="both"/>
      </w:pPr>
      <w:r>
        <w:t>Seven stochastic models (Section IV) run as pure-Python functions; each exposes a JSON contract so the RAG builder can concatenate outputs into the LLM prompt without schema drift.</w:t>
      </w:r>
    </w:p>
    <w:p w14:paraId="595B1FD6" w14:textId="77777777" w:rsidR="00675273" w:rsidRDefault="00000000">
      <w:pPr>
        <w:spacing w:before="140" w:after="60"/>
      </w:pPr>
      <w:r>
        <w:rPr>
          <w:i/>
          <w:iCs/>
        </w:rPr>
        <w:t>C. LLM Sub-Core</w:t>
      </w:r>
    </w:p>
    <w:p w14:paraId="17E14B0F" w14:textId="77777777" w:rsidR="00675273" w:rsidRDefault="00000000">
      <w:pPr>
        <w:spacing w:after="60"/>
        <w:ind w:firstLine="200"/>
        <w:jc w:val="both"/>
      </w:pPr>
      <w:r>
        <w:t xml:space="preserve">A single </w:t>
      </w:r>
      <w:proofErr w:type="spellStart"/>
      <w:r>
        <w:t>OpenRouter</w:t>
      </w:r>
      <w:proofErr w:type="spellEnd"/>
      <w:r>
        <w:t xml:space="preserve"> HTTP client (60-second timeout, 12-second polite delay) handles all completions. Three prompts are pre-registered: morning-brief, rates-brief, and </w:t>
      </w:r>
      <w:proofErr w:type="spellStart"/>
      <w:r>
        <w:t>fx</w:t>
      </w:r>
      <w:proofErr w:type="spellEnd"/>
      <w:r>
        <w:t>-pm-decision. Results are cached server-side.</w:t>
      </w:r>
    </w:p>
    <w:p w14:paraId="39092AA8" w14:textId="77777777" w:rsidR="00675273" w:rsidRDefault="00000000">
      <w:pPr>
        <w:spacing w:before="140" w:after="60"/>
      </w:pPr>
      <w:r>
        <w:rPr>
          <w:i/>
          <w:iCs/>
        </w:rPr>
        <w:lastRenderedPageBreak/>
        <w:t>D. Presentation Layer</w:t>
      </w:r>
    </w:p>
    <w:p w14:paraId="2FB64F51" w14:textId="77777777" w:rsidR="00675273" w:rsidRDefault="00000000">
      <w:pPr>
        <w:spacing w:after="60"/>
        <w:ind w:firstLine="200"/>
        <w:jc w:val="both"/>
      </w:pPr>
      <w:r>
        <w:t xml:space="preserve">Next.js 16 with </w:t>
      </w:r>
      <w:proofErr w:type="spellStart"/>
      <w:r>
        <w:t>Turbopack</w:t>
      </w:r>
      <w:proofErr w:type="spellEnd"/>
      <w:r>
        <w:t xml:space="preserve"> serves three desks. A strict overflow-hidden grid-cell pattern, combined with flex-based min-height-zero chart containers, eliminates canvas overflow—an issue diagnosed in Section VII.</w:t>
      </w:r>
    </w:p>
    <w:p w14:paraId="000D9991" w14:textId="77777777" w:rsidR="00675273" w:rsidRDefault="00000000">
      <w:pPr>
        <w:spacing w:before="240" w:after="120"/>
        <w:jc w:val="center"/>
      </w:pPr>
      <w:r>
        <w:rPr>
          <w:b/>
          <w:bCs/>
        </w:rPr>
        <w:t>IV.  MATHEMATICAL FRAMEWORK</w:t>
      </w:r>
    </w:p>
    <w:p w14:paraId="24C8F990" w14:textId="77777777" w:rsidR="00675273" w:rsidRDefault="00000000">
      <w:pPr>
        <w:spacing w:before="120" w:after="80"/>
        <w:jc w:val="center"/>
      </w:pPr>
      <w:r>
        <w:rPr>
          <w:b/>
          <w:bCs/>
          <w:sz w:val="18"/>
          <w:szCs w:val="18"/>
        </w:rPr>
        <w:t>TABLE I NOTATION USED THROUGHOUT SECTION IV</w:t>
      </w:r>
    </w:p>
    <w:tbl>
      <w:tblPr>
        <w:tblW w:w="3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300"/>
      </w:tblGrid>
      <w:tr w:rsidR="00675273" w14:paraId="6198D1DE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AD165" w14:textId="77777777" w:rsidR="00675273" w:rsidRDefault="00000000">
            <w:r>
              <w:rPr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FED21" w14:textId="77777777" w:rsidR="00675273" w:rsidRDefault="00000000">
            <w:r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675273" w14:paraId="79401070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82B68" w14:textId="77777777" w:rsidR="00675273" w:rsidRDefault="00000000">
            <w:proofErr w:type="spellStart"/>
            <w:r>
              <w:rPr>
                <w:i/>
                <w:iCs/>
                <w:sz w:val="18"/>
                <w:szCs w:val="18"/>
              </w:rPr>
              <w:t>X_t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, </w:t>
            </w:r>
            <w:proofErr w:type="spellStart"/>
            <w:r>
              <w:rPr>
                <w:i/>
                <w:iCs/>
                <w:sz w:val="18"/>
                <w:szCs w:val="18"/>
              </w:rPr>
              <w:t>S_t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614FD" w14:textId="77777777" w:rsidR="00675273" w:rsidRDefault="00000000">
            <w:r>
              <w:rPr>
                <w:sz w:val="18"/>
                <w:szCs w:val="18"/>
              </w:rPr>
              <w:t>asset price / log-price at time t</w:t>
            </w:r>
          </w:p>
        </w:tc>
      </w:tr>
      <w:tr w:rsidR="00675273" w14:paraId="1C4FB9E0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3936C" w14:textId="77777777" w:rsidR="00675273" w:rsidRDefault="00000000">
            <w:r>
              <w:rPr>
                <w:i/>
                <w:iCs/>
                <w:sz w:val="18"/>
                <w:szCs w:val="18"/>
              </w:rPr>
              <w:t>μ, θ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B5DF1" w14:textId="77777777" w:rsidR="00675273" w:rsidRDefault="00000000">
            <w:r>
              <w:rPr>
                <w:sz w:val="18"/>
                <w:szCs w:val="18"/>
              </w:rPr>
              <w:t>drift / long-run OU mean</w:t>
            </w:r>
          </w:p>
        </w:tc>
      </w:tr>
      <w:tr w:rsidR="00675273" w14:paraId="5586DBE9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A7941" w14:textId="77777777" w:rsidR="00675273" w:rsidRDefault="00000000">
            <w:r>
              <w:rPr>
                <w:i/>
                <w:iCs/>
                <w:sz w:val="18"/>
                <w:szCs w:val="18"/>
              </w:rPr>
              <w:t>κ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A72E6" w14:textId="77777777" w:rsidR="00675273" w:rsidRDefault="00000000">
            <w:r>
              <w:rPr>
                <w:sz w:val="18"/>
                <w:szCs w:val="18"/>
              </w:rPr>
              <w:t>OU mean-reversion speed</w:t>
            </w:r>
          </w:p>
        </w:tc>
      </w:tr>
      <w:tr w:rsidR="00675273" w14:paraId="7A1B2E76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F6B50" w14:textId="77777777" w:rsidR="00675273" w:rsidRDefault="00000000">
            <w:r>
              <w:rPr>
                <w:i/>
                <w:iCs/>
                <w:sz w:val="18"/>
                <w:szCs w:val="18"/>
              </w:rPr>
              <w:t>σ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4A498" w14:textId="77777777" w:rsidR="00675273" w:rsidRDefault="00000000">
            <w:r>
              <w:rPr>
                <w:sz w:val="18"/>
                <w:szCs w:val="18"/>
              </w:rPr>
              <w:t>diffusion (volatility) coefficient</w:t>
            </w:r>
          </w:p>
        </w:tc>
      </w:tr>
      <w:tr w:rsidR="00675273" w14:paraId="474A6B20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25D80" w14:textId="77777777" w:rsidR="00675273" w:rsidRDefault="00000000">
            <w:proofErr w:type="spellStart"/>
            <w:r>
              <w:rPr>
                <w:i/>
                <w:iCs/>
                <w:sz w:val="18"/>
                <w:szCs w:val="18"/>
              </w:rPr>
              <w:t>W_t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9E246" w14:textId="77777777" w:rsidR="00675273" w:rsidRDefault="00000000">
            <w:r>
              <w:rPr>
                <w:sz w:val="18"/>
                <w:szCs w:val="18"/>
              </w:rPr>
              <w:t>standard Brownian motion</w:t>
            </w:r>
          </w:p>
        </w:tc>
      </w:tr>
      <w:tr w:rsidR="00675273" w14:paraId="6C8CA952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C8059" w14:textId="77777777" w:rsidR="00675273" w:rsidRDefault="00000000">
            <w:proofErr w:type="spellStart"/>
            <w:r>
              <w:rPr>
                <w:i/>
                <w:iCs/>
                <w:sz w:val="18"/>
                <w:szCs w:val="18"/>
              </w:rPr>
              <w:t>r_t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48204" w14:textId="77777777" w:rsidR="00675273" w:rsidRDefault="00000000">
            <w:r>
              <w:rPr>
                <w:sz w:val="18"/>
                <w:szCs w:val="18"/>
              </w:rPr>
              <w:t>instantaneous short rate</w:t>
            </w:r>
          </w:p>
        </w:tc>
      </w:tr>
      <w:tr w:rsidR="00675273" w14:paraId="06567B45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88EC5" w14:textId="77777777" w:rsidR="00675273" w:rsidRDefault="00000000">
            <w:r>
              <w:rPr>
                <w:i/>
                <w:iCs/>
                <w:sz w:val="18"/>
                <w:szCs w:val="18"/>
              </w:rPr>
              <w:t>P(</w:t>
            </w:r>
            <w:proofErr w:type="spellStart"/>
            <w:r>
              <w:rPr>
                <w:i/>
                <w:iCs/>
                <w:sz w:val="18"/>
                <w:szCs w:val="18"/>
              </w:rPr>
              <w:t>t,T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A0FA1" w14:textId="77777777" w:rsidR="00675273" w:rsidRDefault="00000000">
            <w:r>
              <w:rPr>
                <w:sz w:val="18"/>
                <w:szCs w:val="18"/>
              </w:rPr>
              <w:t>zero-coupon bond price, maturity T</w:t>
            </w:r>
          </w:p>
        </w:tc>
      </w:tr>
      <w:tr w:rsidR="00675273" w14:paraId="6CF543F4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3A922" w14:textId="77777777" w:rsidR="00675273" w:rsidRDefault="00000000">
            <w:r>
              <w:rPr>
                <w:i/>
                <w:iCs/>
                <w:sz w:val="18"/>
                <w:szCs w:val="18"/>
              </w:rPr>
              <w:t>Σ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C577D" w14:textId="77777777" w:rsidR="00675273" w:rsidRDefault="00000000">
            <w:r>
              <w:rPr>
                <w:sz w:val="18"/>
                <w:szCs w:val="18"/>
              </w:rPr>
              <w:t>covariance matrix of yield changes</w:t>
            </w:r>
          </w:p>
        </w:tc>
      </w:tr>
      <w:tr w:rsidR="00675273" w14:paraId="2CD2720D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CD6E9" w14:textId="77777777" w:rsidR="00675273" w:rsidRDefault="00000000">
            <w:proofErr w:type="spellStart"/>
            <w:r>
              <w:rPr>
                <w:i/>
                <w:iCs/>
                <w:sz w:val="18"/>
                <w:szCs w:val="18"/>
              </w:rPr>
              <w:t>λ_k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, </w:t>
            </w:r>
            <w:proofErr w:type="spellStart"/>
            <w:r>
              <w:rPr>
                <w:i/>
                <w:iCs/>
                <w:sz w:val="18"/>
                <w:szCs w:val="18"/>
              </w:rPr>
              <w:t>φ_k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D7871" w14:textId="77777777" w:rsidR="00675273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eigenvalue / eigenvector of Σ</w:t>
            </w:r>
          </w:p>
        </w:tc>
      </w:tr>
      <w:tr w:rsidR="00675273" w14:paraId="112AFE7D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E1EE3" w14:textId="77777777" w:rsidR="00675273" w:rsidRDefault="00000000">
            <w:r>
              <w:rPr>
                <w:i/>
                <w:iCs/>
                <w:sz w:val="18"/>
                <w:szCs w:val="18"/>
              </w:rPr>
              <w:t>H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3ACDA" w14:textId="77777777" w:rsidR="00675273" w:rsidRDefault="00000000">
            <w:r>
              <w:rPr>
                <w:sz w:val="18"/>
                <w:szCs w:val="18"/>
              </w:rPr>
              <w:t>Hurst exponent</w:t>
            </w:r>
          </w:p>
        </w:tc>
      </w:tr>
      <w:tr w:rsidR="00675273" w14:paraId="1B1BA1E2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1CC57" w14:textId="77777777" w:rsidR="00675273" w:rsidRDefault="00000000">
            <w:r>
              <w:rPr>
                <w:i/>
                <w:iCs/>
                <w:sz w:val="18"/>
                <w:szCs w:val="18"/>
              </w:rPr>
              <w:t>α, β, ω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8F1A8" w14:textId="77777777" w:rsidR="00675273" w:rsidRDefault="00000000">
            <w:r>
              <w:rPr>
                <w:sz w:val="18"/>
                <w:szCs w:val="18"/>
              </w:rPr>
              <w:t>GARCH(1,1) coefficients</w:t>
            </w:r>
          </w:p>
        </w:tc>
      </w:tr>
      <w:tr w:rsidR="00675273" w14:paraId="26C8ECE0" w14:textId="77777777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E2B81" w14:textId="77777777" w:rsidR="00675273" w:rsidRDefault="00000000">
            <w:proofErr w:type="spellStart"/>
            <w:r>
              <w:rPr>
                <w:i/>
                <w:iCs/>
                <w:sz w:val="18"/>
                <w:szCs w:val="18"/>
              </w:rPr>
              <w:t>VaR</w:t>
            </w:r>
            <w:proofErr w:type="spellEnd"/>
            <w:r>
              <w:rPr>
                <w:i/>
                <w:iCs/>
                <w:sz w:val="18"/>
                <w:szCs w:val="18"/>
              </w:rPr>
              <w:t>_α , ES_α</w:t>
            </w:r>
          </w:p>
        </w:tc>
        <w:tc>
          <w:tcPr>
            <w:tcW w:w="23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7A385" w14:textId="77777777" w:rsidR="00675273" w:rsidRDefault="00000000">
            <w:r>
              <w:rPr>
                <w:sz w:val="18"/>
                <w:szCs w:val="18"/>
              </w:rPr>
              <w:t>value-at-risk / expected shortfall</w:t>
            </w:r>
          </w:p>
        </w:tc>
      </w:tr>
    </w:tbl>
    <w:p w14:paraId="053412C3" w14:textId="77777777" w:rsidR="00675273" w:rsidRDefault="00675273">
      <w:pPr>
        <w:spacing w:after="120"/>
      </w:pPr>
    </w:p>
    <w:p w14:paraId="39C07DF5" w14:textId="77777777" w:rsidR="00675273" w:rsidRDefault="00000000">
      <w:pPr>
        <w:spacing w:before="140" w:after="60"/>
      </w:pPr>
      <w:r>
        <w:rPr>
          <w:i/>
          <w:iCs/>
        </w:rPr>
        <w:t>A. Ornstein–</w:t>
      </w:r>
      <w:proofErr w:type="spellStart"/>
      <w:r>
        <w:rPr>
          <w:i/>
          <w:iCs/>
        </w:rPr>
        <w:t>Uhlenbeck</w:t>
      </w:r>
      <w:proofErr w:type="spellEnd"/>
      <w:r>
        <w:rPr>
          <w:i/>
          <w:iCs/>
        </w:rPr>
        <w:t xml:space="preserve"> Mean Reversion via MLE</w:t>
      </w:r>
    </w:p>
    <w:p w14:paraId="28AD05E8" w14:textId="77777777" w:rsidR="00675273" w:rsidRDefault="00000000">
      <w:pPr>
        <w:spacing w:after="60"/>
        <w:ind w:firstLine="200"/>
        <w:jc w:val="both"/>
      </w:pPr>
      <w:r>
        <w:t xml:space="preserve">We model a log-FX cross </w:t>
      </w:r>
      <w:proofErr w:type="spellStart"/>
      <w:r>
        <w:t>X_t</w:t>
      </w:r>
      <w:proofErr w:type="spellEnd"/>
      <w:r>
        <w:t xml:space="preserve"> = log </w:t>
      </w:r>
      <w:proofErr w:type="spellStart"/>
      <w:r>
        <w:t>S_t</w:t>
      </w:r>
      <w:proofErr w:type="spellEnd"/>
      <w:r>
        <w:t xml:space="preserve"> as a univariate OU diffusion:</w:t>
      </w:r>
    </w:p>
    <w:p w14:paraId="10C87053" w14:textId="77777777" w:rsidR="00675273" w:rsidRDefault="00000000">
      <w:pPr>
        <w:tabs>
          <w:tab w:val="right" w:pos="3300"/>
        </w:tabs>
        <w:spacing w:before="80" w:after="80"/>
        <w:jc w:val="center"/>
      </w:pPr>
      <w:proofErr w:type="spellStart"/>
      <w:r>
        <w:rPr>
          <w:i/>
          <w:iCs/>
        </w:rPr>
        <w:t>dX_t</w:t>
      </w:r>
      <w:proofErr w:type="spellEnd"/>
      <w:r>
        <w:rPr>
          <w:i/>
          <w:iCs/>
        </w:rPr>
        <w:t xml:space="preserve"> = κ(θ − </w:t>
      </w:r>
      <w:proofErr w:type="spellStart"/>
      <w:r>
        <w:rPr>
          <w:i/>
          <w:iCs/>
        </w:rPr>
        <w:t>X_t</w:t>
      </w:r>
      <w:proofErr w:type="spellEnd"/>
      <w:r>
        <w:rPr>
          <w:i/>
          <w:iCs/>
        </w:rPr>
        <w:t xml:space="preserve">) dt + σ </w:t>
      </w:r>
      <w:proofErr w:type="spellStart"/>
      <w:r>
        <w:rPr>
          <w:i/>
          <w:iCs/>
        </w:rPr>
        <w:t>dW_t</w:t>
      </w:r>
      <w:proofErr w:type="spellEnd"/>
      <w:r>
        <w:rPr>
          <w:i/>
          <w:iCs/>
        </w:rPr>
        <w:t>.</w:t>
      </w:r>
      <w:r>
        <w:tab/>
        <w:t>(1)</w:t>
      </w:r>
    </w:p>
    <w:p w14:paraId="7489C7DD" w14:textId="77777777" w:rsidR="00675273" w:rsidRDefault="00000000">
      <w:pPr>
        <w:spacing w:after="60"/>
        <w:ind w:firstLine="200"/>
        <w:jc w:val="both"/>
      </w:pPr>
      <w:r>
        <w:t xml:space="preserve">Discretizing at step </w:t>
      </w:r>
      <w:proofErr w:type="spellStart"/>
      <w:r>
        <w:t>Δt</w:t>
      </w:r>
      <w:proofErr w:type="spellEnd"/>
      <w:r>
        <w:t xml:space="preserve"> and setting a = θ(1 − e^(−</w:t>
      </w:r>
      <w:proofErr w:type="spellStart"/>
      <w:r>
        <w:t>κΔt</w:t>
      </w:r>
      <w:proofErr w:type="spellEnd"/>
      <w:r>
        <w:t>)), b = e^(−</w:t>
      </w:r>
      <w:proofErr w:type="spellStart"/>
      <w:r>
        <w:t>κΔt</w:t>
      </w:r>
      <w:proofErr w:type="spellEnd"/>
      <w:r>
        <w:t>), σ̃² = σ²(1 − e^(−2κΔt)) / (2κ) yields the AR(1) form</w:t>
      </w:r>
    </w:p>
    <w:p w14:paraId="64C54D76" w14:textId="77777777" w:rsidR="00675273" w:rsidRDefault="00000000">
      <w:pPr>
        <w:tabs>
          <w:tab w:val="right" w:pos="3300"/>
        </w:tabs>
        <w:spacing w:before="80" w:after="80"/>
        <w:jc w:val="center"/>
      </w:pPr>
      <w:r>
        <w:rPr>
          <w:i/>
          <w:iCs/>
        </w:rPr>
        <w:t>X_(</w:t>
      </w:r>
      <w:proofErr w:type="spellStart"/>
      <w:r>
        <w:rPr>
          <w:i/>
          <w:iCs/>
        </w:rPr>
        <w:t>t+Δt</w:t>
      </w:r>
      <w:proofErr w:type="spellEnd"/>
      <w:r>
        <w:rPr>
          <w:i/>
          <w:iCs/>
        </w:rPr>
        <w:t xml:space="preserve">) = a + b </w:t>
      </w:r>
      <w:proofErr w:type="spellStart"/>
      <w:r>
        <w:rPr>
          <w:i/>
          <w:iCs/>
        </w:rPr>
        <w:t>X_t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ε_t</w:t>
      </w:r>
      <w:proofErr w:type="spellEnd"/>
      <w:r>
        <w:rPr>
          <w:i/>
          <w:iCs/>
        </w:rPr>
        <w:t xml:space="preserve">,    </w:t>
      </w:r>
      <w:proofErr w:type="spellStart"/>
      <w:r>
        <w:rPr>
          <w:i/>
          <w:iCs/>
        </w:rPr>
        <w:t>ε_t</w:t>
      </w:r>
      <w:proofErr w:type="spellEnd"/>
      <w:r>
        <w:rPr>
          <w:i/>
          <w:iCs/>
        </w:rPr>
        <w:t xml:space="preserve"> ~ N(0, σ̃²).</w:t>
      </w:r>
      <w:r>
        <w:tab/>
        <w:t>(2)</w:t>
      </w:r>
    </w:p>
    <w:p w14:paraId="0039A287" w14:textId="77777777" w:rsidR="00675273" w:rsidRDefault="00000000">
      <w:pPr>
        <w:spacing w:after="60"/>
        <w:ind w:firstLine="200"/>
        <w:jc w:val="both"/>
      </w:pPr>
      <w:r>
        <w:t>The MLE estimators are</w:t>
      </w:r>
    </w:p>
    <w:p w14:paraId="3E1CD5C8" w14:textId="77777777" w:rsidR="00675273" w:rsidRDefault="00000000">
      <w:pPr>
        <w:tabs>
          <w:tab w:val="right" w:pos="3300"/>
        </w:tabs>
        <w:spacing w:before="80" w:after="80"/>
        <w:jc w:val="center"/>
      </w:pPr>
      <w:r>
        <w:rPr>
          <w:i/>
          <w:iCs/>
        </w:rPr>
        <w:t xml:space="preserve">b̂ = [n Σ </w:t>
      </w:r>
      <w:proofErr w:type="spellStart"/>
      <w:r>
        <w:rPr>
          <w:i/>
          <w:iCs/>
        </w:rPr>
        <w:t>X_t</w:t>
      </w:r>
      <w:proofErr w:type="spellEnd"/>
      <w:r>
        <w:rPr>
          <w:i/>
          <w:iCs/>
        </w:rPr>
        <w:t xml:space="preserve"> X_(</w:t>
      </w:r>
      <w:proofErr w:type="spellStart"/>
      <w:r>
        <w:rPr>
          <w:i/>
          <w:iCs/>
        </w:rPr>
        <w:t>t+Δt</w:t>
      </w:r>
      <w:proofErr w:type="spellEnd"/>
      <w:r>
        <w:rPr>
          <w:i/>
          <w:iCs/>
        </w:rPr>
        <w:t xml:space="preserve">) − Σ </w:t>
      </w:r>
      <w:proofErr w:type="spellStart"/>
      <w:r>
        <w:rPr>
          <w:i/>
          <w:iCs/>
        </w:rPr>
        <w:t>X_t</w:t>
      </w:r>
      <w:proofErr w:type="spellEnd"/>
      <w:r>
        <w:rPr>
          <w:i/>
          <w:iCs/>
        </w:rPr>
        <w:t xml:space="preserve"> · Σ X_(</w:t>
      </w:r>
      <w:proofErr w:type="spellStart"/>
      <w:r>
        <w:rPr>
          <w:i/>
          <w:iCs/>
        </w:rPr>
        <w:t>t+Δt</w:t>
      </w:r>
      <w:proofErr w:type="spellEnd"/>
      <w:r>
        <w:rPr>
          <w:i/>
          <w:iCs/>
        </w:rPr>
        <w:t xml:space="preserve">)] / [n Σ X_t² − (Σ </w:t>
      </w:r>
      <w:proofErr w:type="spellStart"/>
      <w:r>
        <w:rPr>
          <w:i/>
          <w:iCs/>
        </w:rPr>
        <w:t>X_t</w:t>
      </w:r>
      <w:proofErr w:type="spellEnd"/>
      <w:r>
        <w:rPr>
          <w:i/>
          <w:iCs/>
        </w:rPr>
        <w:t>)²],</w:t>
      </w:r>
      <w:r>
        <w:tab/>
        <w:t>(3)</w:t>
      </w:r>
    </w:p>
    <w:p w14:paraId="73423119" w14:textId="77777777" w:rsidR="00675273" w:rsidRDefault="00000000">
      <w:pPr>
        <w:tabs>
          <w:tab w:val="right" w:pos="3300"/>
        </w:tabs>
        <w:spacing w:before="80" w:after="80"/>
        <w:jc w:val="center"/>
      </w:pPr>
      <w:r>
        <w:rPr>
          <w:i/>
          <w:iCs/>
        </w:rPr>
        <w:t>â = mean(X_(</w:t>
      </w:r>
      <w:proofErr w:type="spellStart"/>
      <w:r>
        <w:rPr>
          <w:i/>
          <w:iCs/>
        </w:rPr>
        <w:t>t+Δt</w:t>
      </w:r>
      <w:proofErr w:type="spellEnd"/>
      <w:r>
        <w:rPr>
          <w:i/>
          <w:iCs/>
        </w:rPr>
        <w:t>)) − b̂ · mean(</w:t>
      </w:r>
      <w:proofErr w:type="spellStart"/>
      <w:r>
        <w:rPr>
          <w:i/>
          <w:iCs/>
        </w:rPr>
        <w:t>X_t</w:t>
      </w:r>
      <w:proofErr w:type="spellEnd"/>
      <w:r>
        <w:rPr>
          <w:i/>
          <w:iCs/>
        </w:rPr>
        <w:t>),</w:t>
      </w:r>
      <w:r>
        <w:tab/>
        <w:t>(4)</w:t>
      </w:r>
    </w:p>
    <w:p w14:paraId="4D627355" w14:textId="77777777" w:rsidR="00675273" w:rsidRDefault="00000000">
      <w:pPr>
        <w:spacing w:after="60"/>
        <w:ind w:firstLine="200"/>
        <w:jc w:val="both"/>
      </w:pPr>
      <w:r>
        <w:t>from which we recover</w:t>
      </w:r>
    </w:p>
    <w:p w14:paraId="54EF6942" w14:textId="77777777" w:rsidR="00675273" w:rsidRDefault="00000000">
      <w:pPr>
        <w:tabs>
          <w:tab w:val="right" w:pos="3300"/>
        </w:tabs>
        <w:spacing w:before="80" w:after="80"/>
        <w:jc w:val="center"/>
      </w:pPr>
      <w:r>
        <w:rPr>
          <w:i/>
          <w:iCs/>
        </w:rPr>
        <w:t xml:space="preserve">κ̂ = −log(b̂) / </w:t>
      </w:r>
      <w:proofErr w:type="spellStart"/>
      <w:r>
        <w:rPr>
          <w:i/>
          <w:iCs/>
        </w:rPr>
        <w:t>Δt</w:t>
      </w:r>
      <w:proofErr w:type="spellEnd"/>
      <w:r>
        <w:rPr>
          <w:i/>
          <w:iCs/>
        </w:rPr>
        <w:t>,   θ̂ = â / (1 − b̂),   τ_(½) = ln 2 / κ̂.</w:t>
      </w:r>
      <w:r>
        <w:tab/>
        <w:t>(5)</w:t>
      </w:r>
    </w:p>
    <w:p w14:paraId="7FA5D999" w14:textId="77777777" w:rsidR="00675273" w:rsidRDefault="00000000">
      <w:pPr>
        <w:spacing w:after="60"/>
        <w:ind w:firstLine="200"/>
        <w:jc w:val="both"/>
      </w:pPr>
      <w:r>
        <w:t xml:space="preserve">The half-life τ_½ drives the FX desk's "is it tradable?" heuristic: a pair is considered mean-reverting </w:t>
      </w:r>
      <w:proofErr w:type="spellStart"/>
      <w:r>
        <w:t>iff</w:t>
      </w:r>
      <w:proofErr w:type="spellEnd"/>
      <w:r>
        <w:t xml:space="preserve"> κ̂ &gt; 0 and the t-statistic on (b̂ − 1) exceeds the Dickey–Fuller critical value of −2.89 at the 5% level.</w:t>
      </w:r>
    </w:p>
    <w:p w14:paraId="1899AD82" w14:textId="77777777" w:rsidR="00675273" w:rsidRDefault="00000000">
      <w:pPr>
        <w:spacing w:before="140" w:after="60"/>
      </w:pPr>
      <w:r>
        <w:rPr>
          <w:i/>
          <w:iCs/>
        </w:rPr>
        <w:t>B. Hurst Exponent via Rescaled-Range Analysis</w:t>
      </w:r>
    </w:p>
    <w:p w14:paraId="5AA20F7E" w14:textId="77777777" w:rsidR="00675273" w:rsidRDefault="00000000">
      <w:pPr>
        <w:spacing w:after="60"/>
        <w:ind w:firstLine="200"/>
        <w:jc w:val="both"/>
      </w:pPr>
      <w:r>
        <w:t>For a return series {</w:t>
      </w:r>
      <w:proofErr w:type="spellStart"/>
      <w:r>
        <w:t>r_i</w:t>
      </w:r>
      <w:proofErr w:type="spellEnd"/>
      <w:r>
        <w:t>} of length N, partition into blocks of size n. In each block compute the mean-</w:t>
      </w:r>
      <w:proofErr w:type="spellStart"/>
      <w:r>
        <w:t>centered</w:t>
      </w:r>
      <w:proofErr w:type="spellEnd"/>
      <w:r>
        <w:t xml:space="preserve"> series </w:t>
      </w:r>
      <w:proofErr w:type="spellStart"/>
      <w:r>
        <w:t>Y_k</w:t>
      </w:r>
      <w:proofErr w:type="spellEnd"/>
      <w:r>
        <w:t xml:space="preserve"> = Σ_{</w:t>
      </w:r>
      <w:proofErr w:type="spellStart"/>
      <w:r>
        <w:t>i</w:t>
      </w:r>
      <w:proofErr w:type="spellEnd"/>
      <w:r>
        <w:t>=1..k} (</w:t>
      </w:r>
      <w:proofErr w:type="spellStart"/>
      <w:r>
        <w:t>r_i</w:t>
      </w:r>
      <w:proofErr w:type="spellEnd"/>
      <w:r>
        <w:t xml:space="preserve"> − r̄) and the range R(n) = </w:t>
      </w:r>
      <w:proofErr w:type="spellStart"/>
      <w:r>
        <w:t>max_k</w:t>
      </w:r>
      <w:proofErr w:type="spellEnd"/>
      <w:r>
        <w:t xml:space="preserve"> </w:t>
      </w:r>
      <w:proofErr w:type="spellStart"/>
      <w:r>
        <w:t>Y_k</w:t>
      </w:r>
      <w:proofErr w:type="spellEnd"/>
      <w:r>
        <w:t xml:space="preserve"> − </w:t>
      </w:r>
      <w:proofErr w:type="spellStart"/>
      <w:r>
        <w:t>min_k</w:t>
      </w:r>
      <w:proofErr w:type="spellEnd"/>
      <w:r>
        <w:t xml:space="preserve"> </w:t>
      </w:r>
      <w:proofErr w:type="spellStart"/>
      <w:r>
        <w:t>Y_k</w:t>
      </w:r>
      <w:proofErr w:type="spellEnd"/>
      <w:r>
        <w:t xml:space="preserve"> with standard deviation S(n). The rescaled range scales as</w:t>
      </w:r>
    </w:p>
    <w:p w14:paraId="1639489E" w14:textId="77777777" w:rsidR="00675273" w:rsidRDefault="00000000">
      <w:pPr>
        <w:tabs>
          <w:tab w:val="right" w:pos="3300"/>
        </w:tabs>
        <w:spacing w:before="80" w:after="80"/>
        <w:jc w:val="center"/>
      </w:pPr>
      <w:r>
        <w:rPr>
          <w:i/>
          <w:iCs/>
        </w:rPr>
        <w:t xml:space="preserve">E[ R(n) / S(n) ]  ~  c · </w:t>
      </w:r>
      <w:proofErr w:type="spellStart"/>
      <w:r>
        <w:rPr>
          <w:i/>
          <w:iCs/>
        </w:rPr>
        <w:t>n^H</w:t>
      </w:r>
      <w:proofErr w:type="spellEnd"/>
      <w:r>
        <w:rPr>
          <w:i/>
          <w:iCs/>
        </w:rPr>
        <w:t>,</w:t>
      </w:r>
      <w:r>
        <w:tab/>
        <w:t>(6)</w:t>
      </w:r>
    </w:p>
    <w:p w14:paraId="2EA381D5" w14:textId="77777777" w:rsidR="00675273" w:rsidRDefault="00000000">
      <w:pPr>
        <w:spacing w:after="60"/>
        <w:ind w:firstLine="200"/>
        <w:jc w:val="both"/>
      </w:pPr>
      <w:r>
        <w:t>so Ĥ is the slope of log(R/S) versus log n. H &lt; 0.5 indicates anti-persistence (mean reversion), H = 0.5 a random walk, and H &gt; 0.5 momentum.</w:t>
      </w:r>
    </w:p>
    <w:p w14:paraId="51B89734" w14:textId="77777777" w:rsidR="00675273" w:rsidRDefault="00000000">
      <w:pPr>
        <w:spacing w:before="140" w:after="60"/>
      </w:pPr>
      <w:r>
        <w:rPr>
          <w:i/>
          <w:iCs/>
        </w:rPr>
        <w:t>C. GARCH(1,1) Tail Risk</w:t>
      </w:r>
    </w:p>
    <w:p w14:paraId="318D8307" w14:textId="77777777" w:rsidR="00675273" w:rsidRDefault="00000000">
      <w:pPr>
        <w:spacing w:after="60"/>
        <w:ind w:firstLine="200"/>
        <w:jc w:val="both"/>
      </w:pPr>
      <w:r>
        <w:t xml:space="preserve">Daily log-returns </w:t>
      </w:r>
      <w:proofErr w:type="spellStart"/>
      <w:r>
        <w:t>r_t</w:t>
      </w:r>
      <w:proofErr w:type="spellEnd"/>
      <w:r>
        <w:t xml:space="preserve"> = log(</w:t>
      </w:r>
      <w:proofErr w:type="spellStart"/>
      <w:r>
        <w:t>P_t</w:t>
      </w:r>
      <w:proofErr w:type="spellEnd"/>
      <w:r>
        <w:t xml:space="preserve"> / P_(t−1)) follow</w:t>
      </w:r>
    </w:p>
    <w:p w14:paraId="1CE874EB" w14:textId="77777777" w:rsidR="00675273" w:rsidRDefault="00000000">
      <w:pPr>
        <w:tabs>
          <w:tab w:val="right" w:pos="3300"/>
        </w:tabs>
        <w:spacing w:before="80" w:after="80"/>
        <w:jc w:val="center"/>
      </w:pPr>
      <w:proofErr w:type="spellStart"/>
      <w:r>
        <w:rPr>
          <w:i/>
          <w:iCs/>
        </w:rPr>
        <w:t>r_t</w:t>
      </w:r>
      <w:proofErr w:type="spellEnd"/>
      <w:r>
        <w:rPr>
          <w:i/>
          <w:iCs/>
        </w:rPr>
        <w:t xml:space="preserve"> = μ + </w:t>
      </w:r>
      <w:proofErr w:type="spellStart"/>
      <w:r>
        <w:rPr>
          <w:i/>
          <w:iCs/>
        </w:rPr>
        <w:t>ε_t</w:t>
      </w:r>
      <w:proofErr w:type="spellEnd"/>
      <w:r>
        <w:rPr>
          <w:i/>
          <w:iCs/>
        </w:rPr>
        <w:t xml:space="preserve">,    </w:t>
      </w:r>
      <w:proofErr w:type="spellStart"/>
      <w:r>
        <w:rPr>
          <w:i/>
          <w:iCs/>
        </w:rPr>
        <w:t>ε_t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σ_t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z_t</w:t>
      </w:r>
      <w:proofErr w:type="spellEnd"/>
      <w:r>
        <w:rPr>
          <w:i/>
          <w:iCs/>
        </w:rPr>
        <w:t xml:space="preserve">,    </w:t>
      </w:r>
      <w:proofErr w:type="spellStart"/>
      <w:r>
        <w:rPr>
          <w:i/>
          <w:iCs/>
        </w:rPr>
        <w:t>z_t</w:t>
      </w:r>
      <w:proofErr w:type="spellEnd"/>
      <w:r>
        <w:rPr>
          <w:i/>
          <w:iCs/>
        </w:rPr>
        <w:t xml:space="preserve"> ~ N(0,1),</w:t>
      </w:r>
      <w:r>
        <w:tab/>
        <w:t>(7)</w:t>
      </w:r>
    </w:p>
    <w:p w14:paraId="1CDA18E4" w14:textId="77777777" w:rsidR="00675273" w:rsidRDefault="00000000">
      <w:pPr>
        <w:tabs>
          <w:tab w:val="right" w:pos="3300"/>
        </w:tabs>
        <w:spacing w:before="80" w:after="80"/>
        <w:jc w:val="center"/>
      </w:pPr>
      <w:r>
        <w:rPr>
          <w:i/>
          <w:iCs/>
        </w:rPr>
        <w:t>σ_t² = ω + α · ε_(t−1)² + β · σ_(t−1)²,</w:t>
      </w:r>
      <w:r>
        <w:tab/>
        <w:t>(8)</w:t>
      </w:r>
    </w:p>
    <w:p w14:paraId="75F99B2C" w14:textId="77777777" w:rsidR="00675273" w:rsidRDefault="00000000">
      <w:pPr>
        <w:spacing w:after="60"/>
        <w:ind w:firstLine="200"/>
        <w:jc w:val="both"/>
      </w:pPr>
      <w:r>
        <w:t>with stationarity condition α + β &lt; 1. The one-day α-level Value-at-Risk is</w:t>
      </w:r>
    </w:p>
    <w:p w14:paraId="03C2D79B" w14:textId="77777777" w:rsidR="00675273" w:rsidRDefault="00000000">
      <w:pPr>
        <w:tabs>
          <w:tab w:val="right" w:pos="3300"/>
        </w:tabs>
        <w:spacing w:before="80" w:after="80"/>
        <w:jc w:val="center"/>
      </w:pPr>
      <w:proofErr w:type="spellStart"/>
      <w:r>
        <w:rPr>
          <w:i/>
          <w:iCs/>
        </w:rPr>
        <w:t>VaR</w:t>
      </w:r>
      <w:proofErr w:type="spellEnd"/>
      <w:r>
        <w:rPr>
          <w:i/>
          <w:iCs/>
        </w:rPr>
        <w:t>_α = −( μ + σ_(t+1) · Φ⁻¹(α) ),</w:t>
      </w:r>
      <w:r>
        <w:tab/>
        <w:t>(9)</w:t>
      </w:r>
    </w:p>
    <w:p w14:paraId="64D60915" w14:textId="77777777" w:rsidR="00675273" w:rsidRDefault="00000000">
      <w:pPr>
        <w:spacing w:after="60"/>
        <w:ind w:firstLine="200"/>
        <w:jc w:val="both"/>
      </w:pPr>
      <w:r>
        <w:t>and Expected Shortfall</w:t>
      </w:r>
    </w:p>
    <w:p w14:paraId="0227582E" w14:textId="77777777" w:rsidR="00675273" w:rsidRDefault="00000000">
      <w:pPr>
        <w:tabs>
          <w:tab w:val="right" w:pos="3300"/>
        </w:tabs>
        <w:spacing w:before="80" w:after="80"/>
        <w:jc w:val="center"/>
      </w:pPr>
      <w:r>
        <w:rPr>
          <w:i/>
          <w:iCs/>
        </w:rPr>
        <w:t>ES_α = −μ + σ_(t+1) · φ(Φ⁻¹(α)) / α,</w:t>
      </w:r>
      <w:r>
        <w:tab/>
        <w:t>(10)</w:t>
      </w:r>
    </w:p>
    <w:p w14:paraId="3A6E7F41" w14:textId="77777777" w:rsidR="00675273" w:rsidRDefault="00000000">
      <w:pPr>
        <w:spacing w:after="60"/>
        <w:ind w:firstLine="200"/>
        <w:jc w:val="both"/>
      </w:pPr>
      <w:r>
        <w:t xml:space="preserve">where φ, Φ are the standard-normal pdf and </w:t>
      </w:r>
      <w:proofErr w:type="spellStart"/>
      <w:r>
        <w:t>cdf</w:t>
      </w:r>
      <w:proofErr w:type="spellEnd"/>
      <w:r>
        <w:t xml:space="preserve">. </w:t>
      </w:r>
      <w:proofErr w:type="spellStart"/>
      <w:r>
        <w:t>Hedgyyyboo</w:t>
      </w:r>
      <w:proofErr w:type="spellEnd"/>
      <w:r>
        <w:t xml:space="preserve"> reports VaR_0.01 and ES_0.01 on the Main desk stat cards.</w:t>
      </w:r>
    </w:p>
    <w:p w14:paraId="3C14B057" w14:textId="77777777" w:rsidR="00675273" w:rsidRDefault="00000000">
      <w:pPr>
        <w:spacing w:before="140" w:after="60"/>
      </w:pPr>
      <w:r>
        <w:rPr>
          <w:i/>
          <w:iCs/>
        </w:rPr>
        <w:t>D. Principal Component Analysis of the Yield Curve</w:t>
      </w:r>
    </w:p>
    <w:p w14:paraId="00BDCE47" w14:textId="77777777" w:rsidR="00675273" w:rsidRDefault="00000000">
      <w:pPr>
        <w:spacing w:after="60"/>
        <w:ind w:firstLine="200"/>
        <w:jc w:val="both"/>
      </w:pPr>
      <w:r>
        <w:t xml:space="preserve">Let Y ∈ R^(T×11) contain the daily changes of the 1M, 3M, 6M, 1Y, 2Y, 3Y, 5Y, 7Y, 10Y, 20Y, and 30Y Treasury yields. The sample covariance Σ = (1/(T−1)) Y^⊤ Y admits the </w:t>
      </w:r>
      <w:proofErr w:type="spellStart"/>
      <w:r>
        <w:t>eigendecomposition</w:t>
      </w:r>
      <w:proofErr w:type="spellEnd"/>
    </w:p>
    <w:p w14:paraId="0C9F3703" w14:textId="77777777" w:rsidR="00675273" w:rsidRDefault="00000000">
      <w:pPr>
        <w:tabs>
          <w:tab w:val="right" w:pos="3300"/>
        </w:tabs>
        <w:spacing w:before="80" w:after="80"/>
        <w:jc w:val="center"/>
      </w:pPr>
      <w:r>
        <w:rPr>
          <w:i/>
          <w:iCs/>
        </w:rPr>
        <w:t xml:space="preserve">Σ = Σ_{k=1..11} </w:t>
      </w:r>
      <w:proofErr w:type="spellStart"/>
      <w:r>
        <w:rPr>
          <w:i/>
          <w:iCs/>
        </w:rPr>
        <w:t>λ_k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φ_k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φ_k</w:t>
      </w:r>
      <w:proofErr w:type="spellEnd"/>
      <w:r>
        <w:rPr>
          <w:i/>
          <w:iCs/>
        </w:rPr>
        <w:t xml:space="preserve">^⊤,     λ_1 ≥ λ_2 ≥ … </w:t>
      </w:r>
      <w:r>
        <w:tab/>
        <w:t>(11)</w:t>
      </w:r>
    </w:p>
    <w:p w14:paraId="530E30ED" w14:textId="77777777" w:rsidR="00675273" w:rsidRDefault="00000000">
      <w:pPr>
        <w:spacing w:after="60"/>
        <w:ind w:firstLine="200"/>
        <w:jc w:val="both"/>
      </w:pPr>
      <w:r>
        <w:t xml:space="preserve">The first three loadings reproduce </w:t>
      </w:r>
      <w:proofErr w:type="spellStart"/>
      <w:r>
        <w:t>Litterman</w:t>
      </w:r>
      <w:proofErr w:type="spellEnd"/>
      <w:r>
        <w:t>–</w:t>
      </w:r>
      <w:proofErr w:type="spellStart"/>
      <w:r>
        <w:t>Scheinkman's</w:t>
      </w:r>
      <w:proofErr w:type="spellEnd"/>
      <w:r>
        <w:t xml:space="preserve"> Level, Slope, and Curvature; empirically (Section VII) they capture 91.3%, 6.4%, and 1.0% of variance respectively (total 98.7%). Daily PC scores </w:t>
      </w:r>
      <w:proofErr w:type="spellStart"/>
      <w:r>
        <w:t>z_t</w:t>
      </w:r>
      <w:proofErr w:type="spellEnd"/>
      <w:r>
        <w:t xml:space="preserve"> = </w:t>
      </w:r>
      <w:proofErr w:type="spellStart"/>
      <w:r>
        <w:t>φ_k</w:t>
      </w:r>
      <w:proofErr w:type="spellEnd"/>
      <w:r>
        <w:t xml:space="preserve">^⊤ </w:t>
      </w:r>
      <w:proofErr w:type="spellStart"/>
      <w:r>
        <w:t>y_t</w:t>
      </w:r>
      <w:proofErr w:type="spellEnd"/>
      <w:r>
        <w:t xml:space="preserve"> are translated to English by the LLM layer.</w:t>
      </w:r>
    </w:p>
    <w:p w14:paraId="6277DA56" w14:textId="77777777" w:rsidR="00675273" w:rsidRDefault="00000000">
      <w:pPr>
        <w:spacing w:before="140" w:after="60"/>
      </w:pPr>
      <w:r>
        <w:rPr>
          <w:i/>
          <w:iCs/>
        </w:rPr>
        <w:t>E. Hull–White One-Factor Swaption Pricing</w:t>
      </w:r>
    </w:p>
    <w:p w14:paraId="2AFFFC7F" w14:textId="77777777" w:rsidR="00675273" w:rsidRDefault="00000000">
      <w:pPr>
        <w:spacing w:after="60"/>
        <w:ind w:firstLine="200"/>
        <w:jc w:val="both"/>
      </w:pPr>
      <w:r>
        <w:t>The short rate follows</w:t>
      </w:r>
    </w:p>
    <w:p w14:paraId="39865327" w14:textId="77777777" w:rsidR="00675273" w:rsidRDefault="00000000">
      <w:pPr>
        <w:tabs>
          <w:tab w:val="right" w:pos="3300"/>
        </w:tabs>
        <w:spacing w:before="80" w:after="80"/>
        <w:jc w:val="center"/>
      </w:pPr>
      <w:proofErr w:type="spellStart"/>
      <w:r>
        <w:rPr>
          <w:i/>
          <w:iCs/>
        </w:rPr>
        <w:t>dr_t</w:t>
      </w:r>
      <w:proofErr w:type="spellEnd"/>
      <w:r>
        <w:rPr>
          <w:i/>
          <w:iCs/>
        </w:rPr>
        <w:t xml:space="preserve"> = [ϑ(t) − a · </w:t>
      </w:r>
      <w:proofErr w:type="spellStart"/>
      <w:r>
        <w:rPr>
          <w:i/>
          <w:iCs/>
        </w:rPr>
        <w:t>r_t</w:t>
      </w:r>
      <w:proofErr w:type="spellEnd"/>
      <w:r>
        <w:rPr>
          <w:i/>
          <w:iCs/>
        </w:rPr>
        <w:t xml:space="preserve">] dt + σ </w:t>
      </w:r>
      <w:proofErr w:type="spellStart"/>
      <w:r>
        <w:rPr>
          <w:i/>
          <w:iCs/>
        </w:rPr>
        <w:t>dW_t</w:t>
      </w:r>
      <w:proofErr w:type="spellEnd"/>
      <w:r>
        <w:rPr>
          <w:i/>
          <w:iCs/>
        </w:rPr>
        <w:t>.</w:t>
      </w:r>
      <w:r>
        <w:tab/>
        <w:t>(12)</w:t>
      </w:r>
    </w:p>
    <w:p w14:paraId="7130CFCA" w14:textId="77777777" w:rsidR="00675273" w:rsidRDefault="00000000">
      <w:pPr>
        <w:spacing w:after="60"/>
        <w:ind w:firstLine="200"/>
        <w:jc w:val="both"/>
      </w:pPr>
      <w:r>
        <w:t>The zero-bond price admits the affine form P(</w:t>
      </w:r>
      <w:proofErr w:type="spellStart"/>
      <w:r>
        <w:t>t,T</w:t>
      </w:r>
      <w:proofErr w:type="spellEnd"/>
      <w:r>
        <w:t>) = A(</w:t>
      </w:r>
      <w:proofErr w:type="spellStart"/>
      <w:r>
        <w:t>t,T</w:t>
      </w:r>
      <w:proofErr w:type="spellEnd"/>
      <w:r>
        <w:t>) e^(−B(</w:t>
      </w:r>
      <w:proofErr w:type="spellStart"/>
      <w:r>
        <w:t>t,T</w:t>
      </w:r>
      <w:proofErr w:type="spellEnd"/>
      <w:r>
        <w:t xml:space="preserve">) </w:t>
      </w:r>
      <w:proofErr w:type="spellStart"/>
      <w:r>
        <w:t>r_t</w:t>
      </w:r>
      <w:proofErr w:type="spellEnd"/>
      <w:r>
        <w:t>) with</w:t>
      </w:r>
    </w:p>
    <w:p w14:paraId="78A0634D" w14:textId="77777777" w:rsidR="00675273" w:rsidRDefault="00000000">
      <w:pPr>
        <w:tabs>
          <w:tab w:val="right" w:pos="3300"/>
        </w:tabs>
        <w:spacing w:before="80" w:after="80"/>
        <w:jc w:val="center"/>
      </w:pPr>
      <w:r>
        <w:rPr>
          <w:i/>
          <w:iCs/>
        </w:rPr>
        <w:t>B(</w:t>
      </w:r>
      <w:proofErr w:type="spellStart"/>
      <w:r>
        <w:rPr>
          <w:i/>
          <w:iCs/>
        </w:rPr>
        <w:t>t,T</w:t>
      </w:r>
      <w:proofErr w:type="spellEnd"/>
      <w:r>
        <w:rPr>
          <w:i/>
          <w:iCs/>
        </w:rPr>
        <w:t>) = ( 1 − e^(−a(T−t)) ) / a,</w:t>
      </w:r>
      <w:r>
        <w:tab/>
        <w:t>(13)</w:t>
      </w:r>
    </w:p>
    <w:p w14:paraId="3C0E88F8" w14:textId="77777777" w:rsidR="00675273" w:rsidRDefault="00000000">
      <w:pPr>
        <w:tabs>
          <w:tab w:val="right" w:pos="3300"/>
        </w:tabs>
        <w:spacing w:before="80" w:after="80"/>
        <w:jc w:val="center"/>
      </w:pPr>
      <w:r>
        <w:rPr>
          <w:i/>
          <w:iCs/>
        </w:rPr>
        <w:t>log A(</w:t>
      </w:r>
      <w:proofErr w:type="spellStart"/>
      <w:r>
        <w:rPr>
          <w:i/>
          <w:iCs/>
        </w:rPr>
        <w:t>t,T</w:t>
      </w:r>
      <w:proofErr w:type="spellEnd"/>
      <w:r>
        <w:rPr>
          <w:i/>
          <w:iCs/>
        </w:rPr>
        <w:t xml:space="preserve">) = log(P^M(0,T) / P^M(0,t)) + B </w:t>
      </w:r>
      <w:proofErr w:type="spellStart"/>
      <w:r>
        <w:rPr>
          <w:i/>
          <w:iCs/>
        </w:rPr>
        <w:t>f^M</w:t>
      </w:r>
      <w:proofErr w:type="spellEnd"/>
      <w:r>
        <w:rPr>
          <w:i/>
          <w:iCs/>
        </w:rPr>
        <w:t>(0,t) − (σ² / 4a)(1 − e^(−2at)) B².</w:t>
      </w:r>
      <w:r>
        <w:tab/>
        <w:t>(14)</w:t>
      </w:r>
    </w:p>
    <w:p w14:paraId="14A95FA6" w14:textId="77777777" w:rsidR="00675273" w:rsidRDefault="00000000">
      <w:pPr>
        <w:spacing w:after="60"/>
        <w:ind w:firstLine="200"/>
        <w:jc w:val="both"/>
      </w:pPr>
      <w:r>
        <w:t xml:space="preserve">The </w:t>
      </w:r>
      <w:proofErr w:type="spellStart"/>
      <w:r>
        <w:t>Jamshidian</w:t>
      </w:r>
      <w:proofErr w:type="spellEnd"/>
      <w:r>
        <w:t xml:space="preserve"> [9] decomposition reduces a European payer-swaption to a strip of zero-bond put options, each priced in closed form via the Gaussian </w:t>
      </w:r>
      <w:proofErr w:type="spellStart"/>
      <w:r>
        <w:t>cdf</w:t>
      </w:r>
      <w:proofErr w:type="spellEnd"/>
      <w:r>
        <w:t>. We calibrate (a, σ) by minimizing the weighted squared error against the ATM-swaption cube (pillars: 1×5, 5×5, 10×10).</w:t>
      </w:r>
    </w:p>
    <w:p w14:paraId="40C716B5" w14:textId="77777777" w:rsidR="00675273" w:rsidRDefault="00000000">
      <w:pPr>
        <w:spacing w:before="140" w:after="60"/>
      </w:pPr>
      <w:r>
        <w:rPr>
          <w:i/>
          <w:iCs/>
        </w:rPr>
        <w:t>F. Heston Monte-Carlo Option Pricing</w:t>
      </w:r>
    </w:p>
    <w:p w14:paraId="30BEE875" w14:textId="77777777" w:rsidR="00675273" w:rsidRDefault="00000000">
      <w:pPr>
        <w:spacing w:after="60"/>
        <w:ind w:firstLine="200"/>
        <w:jc w:val="both"/>
      </w:pPr>
      <w:r>
        <w:t>The Heston [2] model couples price and variance:</w:t>
      </w:r>
    </w:p>
    <w:p w14:paraId="26E8AE04" w14:textId="77777777" w:rsidR="00675273" w:rsidRDefault="00000000">
      <w:pPr>
        <w:tabs>
          <w:tab w:val="right" w:pos="3300"/>
        </w:tabs>
        <w:spacing w:before="80" w:after="80"/>
        <w:jc w:val="center"/>
      </w:pPr>
      <w:proofErr w:type="spellStart"/>
      <w:r>
        <w:rPr>
          <w:i/>
          <w:iCs/>
        </w:rPr>
        <w:t>dS_t</w:t>
      </w:r>
      <w:proofErr w:type="spellEnd"/>
      <w:r>
        <w:rPr>
          <w:i/>
          <w:iCs/>
        </w:rPr>
        <w:t xml:space="preserve"> = r </w:t>
      </w:r>
      <w:proofErr w:type="spellStart"/>
      <w:r>
        <w:rPr>
          <w:i/>
          <w:iCs/>
        </w:rPr>
        <w:t>S_t</w:t>
      </w:r>
      <w:proofErr w:type="spellEnd"/>
      <w:r>
        <w:rPr>
          <w:i/>
          <w:iCs/>
        </w:rPr>
        <w:t xml:space="preserve"> dt + √</w:t>
      </w:r>
      <w:proofErr w:type="spellStart"/>
      <w:r>
        <w:rPr>
          <w:i/>
          <w:iCs/>
        </w:rPr>
        <w:t>v_t</w:t>
      </w:r>
      <w:proofErr w:type="spellEnd"/>
      <w:r>
        <w:rPr>
          <w:i/>
          <w:iCs/>
        </w:rPr>
        <w:t xml:space="preserve"> · </w:t>
      </w:r>
      <w:proofErr w:type="spellStart"/>
      <w:r>
        <w:rPr>
          <w:i/>
          <w:iCs/>
        </w:rPr>
        <w:t>S_t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dW_t</w:t>
      </w:r>
      <w:proofErr w:type="spellEnd"/>
      <w:r>
        <w:rPr>
          <w:i/>
          <w:iCs/>
        </w:rPr>
        <w:t>^(1),</w:t>
      </w:r>
      <w:r>
        <w:tab/>
        <w:t>(15)</w:t>
      </w:r>
    </w:p>
    <w:p w14:paraId="47689D4E" w14:textId="77777777" w:rsidR="00675273" w:rsidRDefault="00000000">
      <w:pPr>
        <w:tabs>
          <w:tab w:val="right" w:pos="3300"/>
        </w:tabs>
        <w:spacing w:before="80" w:after="80"/>
        <w:jc w:val="center"/>
      </w:pPr>
      <w:proofErr w:type="spellStart"/>
      <w:r>
        <w:rPr>
          <w:i/>
          <w:iCs/>
        </w:rPr>
        <w:t>dv_t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κ_v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θ_v</w:t>
      </w:r>
      <w:proofErr w:type="spellEnd"/>
      <w:r>
        <w:rPr>
          <w:i/>
          <w:iCs/>
        </w:rPr>
        <w:t xml:space="preserve"> − </w:t>
      </w:r>
      <w:proofErr w:type="spellStart"/>
      <w:r>
        <w:rPr>
          <w:i/>
          <w:iCs/>
        </w:rPr>
        <w:t>v_t</w:t>
      </w:r>
      <w:proofErr w:type="spellEnd"/>
      <w:r>
        <w:rPr>
          <w:i/>
          <w:iCs/>
        </w:rPr>
        <w:t>) dt + ξ √</w:t>
      </w:r>
      <w:proofErr w:type="spellStart"/>
      <w:r>
        <w:rPr>
          <w:i/>
          <w:iCs/>
        </w:rPr>
        <w:t>v_t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dW_t</w:t>
      </w:r>
      <w:proofErr w:type="spellEnd"/>
      <w:r>
        <w:rPr>
          <w:i/>
          <w:iCs/>
        </w:rPr>
        <w:t>^(2),</w:t>
      </w:r>
      <w:r>
        <w:tab/>
        <w:t>(16)</w:t>
      </w:r>
    </w:p>
    <w:p w14:paraId="1367889D" w14:textId="77777777" w:rsidR="00675273" w:rsidRDefault="00000000">
      <w:pPr>
        <w:spacing w:after="60"/>
        <w:ind w:firstLine="200"/>
        <w:jc w:val="both"/>
      </w:pPr>
      <w:r>
        <w:lastRenderedPageBreak/>
        <w:t xml:space="preserve">with </w:t>
      </w:r>
      <w:proofErr w:type="spellStart"/>
      <w:r>
        <w:t>d⟨W</w:t>
      </w:r>
      <w:proofErr w:type="spellEnd"/>
      <w:r>
        <w:t>^(1), W^(2)⟩_t = ρ dt. We use the Andersen Quadratic-Exponential scheme [10] with N = 10⁵ paths for robustness against the Feller-condition violation observed in equity indices.</w:t>
      </w:r>
    </w:p>
    <w:p w14:paraId="05F0A942" w14:textId="77777777" w:rsidR="00675273" w:rsidRDefault="00000000">
      <w:pPr>
        <w:spacing w:before="140" w:after="60"/>
      </w:pPr>
      <w:r>
        <w:rPr>
          <w:i/>
          <w:iCs/>
        </w:rPr>
        <w:t>G. Neural Stochastic Differential Equations</w:t>
      </w:r>
    </w:p>
    <w:p w14:paraId="7C9A019E" w14:textId="77777777" w:rsidR="00675273" w:rsidRDefault="00000000">
      <w:pPr>
        <w:spacing w:after="60"/>
        <w:ind w:firstLine="200"/>
        <w:jc w:val="both"/>
      </w:pPr>
      <w:r>
        <w:t xml:space="preserve">Following Kidger et al. [21], we parameterize drift and diffusion by neural nets </w:t>
      </w:r>
      <w:proofErr w:type="spellStart"/>
      <w:r>
        <w:t>f_θ</w:t>
      </w:r>
      <w:proofErr w:type="spellEnd"/>
      <w:r>
        <w:t xml:space="preserve">, </w:t>
      </w:r>
      <w:proofErr w:type="spellStart"/>
      <w:r>
        <w:t>g_θ</w:t>
      </w:r>
      <w:proofErr w:type="spellEnd"/>
      <w:r>
        <w:t>:</w:t>
      </w:r>
    </w:p>
    <w:p w14:paraId="3B3D16E4" w14:textId="77777777" w:rsidR="00675273" w:rsidRDefault="00000000">
      <w:pPr>
        <w:tabs>
          <w:tab w:val="right" w:pos="3300"/>
        </w:tabs>
        <w:spacing w:before="80" w:after="80"/>
        <w:jc w:val="center"/>
      </w:pPr>
      <w:proofErr w:type="spellStart"/>
      <w:r>
        <w:rPr>
          <w:i/>
          <w:iCs/>
        </w:rPr>
        <w:t>dX_t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f_θ</w:t>
      </w:r>
      <w:proofErr w:type="spellEnd"/>
      <w:r>
        <w:rPr>
          <w:i/>
          <w:iCs/>
        </w:rPr>
        <w:t xml:space="preserve">(t, </w:t>
      </w:r>
      <w:proofErr w:type="spellStart"/>
      <w:r>
        <w:rPr>
          <w:i/>
          <w:iCs/>
        </w:rPr>
        <w:t>X_t</w:t>
      </w:r>
      <w:proofErr w:type="spellEnd"/>
      <w:r>
        <w:rPr>
          <w:i/>
          <w:iCs/>
        </w:rPr>
        <w:t xml:space="preserve">) dt + </w:t>
      </w:r>
      <w:proofErr w:type="spellStart"/>
      <w:r>
        <w:rPr>
          <w:i/>
          <w:iCs/>
        </w:rPr>
        <w:t>g_θ</w:t>
      </w:r>
      <w:proofErr w:type="spellEnd"/>
      <w:r>
        <w:rPr>
          <w:i/>
          <w:iCs/>
        </w:rPr>
        <w:t xml:space="preserve">(t, </w:t>
      </w:r>
      <w:proofErr w:type="spellStart"/>
      <w:r>
        <w:rPr>
          <w:i/>
          <w:iCs/>
        </w:rPr>
        <w:t>X_t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dW_t</w:t>
      </w:r>
      <w:proofErr w:type="spellEnd"/>
      <w:r>
        <w:rPr>
          <w:i/>
          <w:iCs/>
        </w:rPr>
        <w:t>.</w:t>
      </w:r>
      <w:r>
        <w:tab/>
        <w:t>(17)</w:t>
      </w:r>
    </w:p>
    <w:p w14:paraId="31A3F27C" w14:textId="77777777" w:rsidR="00675273" w:rsidRDefault="00000000">
      <w:pPr>
        <w:spacing w:after="60"/>
        <w:ind w:firstLine="200"/>
        <w:jc w:val="both"/>
      </w:pPr>
      <w:r>
        <w:t xml:space="preserve">Training uses the adjoint backprop of Chen et al. [22]. </w:t>
      </w:r>
      <w:proofErr w:type="spellStart"/>
      <w:r>
        <w:t>Hedgyyyboo</w:t>
      </w:r>
      <w:proofErr w:type="spellEnd"/>
      <w:r>
        <w:t xml:space="preserve"> deploys a tiny 2-hidden-layer MLP (32 units) trained offline on 504 days of returns per symbol; the online inference cost is &lt; 5 </w:t>
      </w:r>
      <w:proofErr w:type="spellStart"/>
      <w:r>
        <w:t>ms</w:t>
      </w:r>
      <w:proofErr w:type="spellEnd"/>
      <w:r>
        <w:t>, making it a deterministic sanity prior against which the LLM's directional call is cross-checked.</w:t>
      </w:r>
    </w:p>
    <w:p w14:paraId="799A47B9" w14:textId="77777777" w:rsidR="00675273" w:rsidRDefault="00000000">
      <w:pPr>
        <w:spacing w:before="240" w:after="120"/>
        <w:jc w:val="center"/>
      </w:pPr>
      <w:r>
        <w:rPr>
          <w:b/>
          <w:bCs/>
        </w:rPr>
        <w:t>V.  LLM INTEGRATION LAYER</w:t>
      </w:r>
    </w:p>
    <w:p w14:paraId="2EBE8BC1" w14:textId="77777777" w:rsidR="00675273" w:rsidRDefault="00000000">
      <w:pPr>
        <w:spacing w:before="140" w:after="60"/>
      </w:pPr>
      <w:r>
        <w:rPr>
          <w:i/>
          <w:iCs/>
        </w:rPr>
        <w:t>A. Prompt Construction (RAG Builder)</w:t>
      </w:r>
    </w:p>
    <w:p w14:paraId="5F043537" w14:textId="77777777" w:rsidR="00675273" w:rsidRDefault="00000000">
      <w:pPr>
        <w:spacing w:after="60"/>
        <w:ind w:firstLine="200"/>
        <w:jc w:val="both"/>
      </w:pPr>
      <w:r>
        <w:t>For the morning brief, the RAG builder constructs a 3,000-token context in this order: (</w:t>
      </w:r>
      <w:proofErr w:type="spellStart"/>
      <w:r>
        <w:t>i</w:t>
      </w:r>
      <w:proofErr w:type="spellEnd"/>
      <w:r>
        <w:t xml:space="preserve">) top-5 macro headlines with publish timestamps, (ii) PCA PC1/PC2/PC3 deltas, (iii) per-symbol OU parameters and Hurst exponents, (iv) GARCH </w:t>
      </w:r>
      <w:proofErr w:type="spellStart"/>
      <w:r>
        <w:t>VaR</w:t>
      </w:r>
      <w:proofErr w:type="spellEnd"/>
      <w:r>
        <w:t>/ES of the top 10 equity holdings, and (v) any high-impact Forex Factory events in the next 24 h.</w:t>
      </w:r>
    </w:p>
    <w:p w14:paraId="3F7A7179" w14:textId="77777777" w:rsidR="00675273" w:rsidRDefault="00000000">
      <w:pPr>
        <w:spacing w:before="140" w:after="60"/>
      </w:pPr>
      <w:r>
        <w:rPr>
          <w:i/>
          <w:iCs/>
        </w:rPr>
        <w:t>B. Gemma-3n System-Prompt Quirk</w:t>
      </w:r>
    </w:p>
    <w:p w14:paraId="575FF769" w14:textId="77777777" w:rsidR="00675273" w:rsidRDefault="00000000">
      <w:pPr>
        <w:spacing w:after="60"/>
        <w:ind w:firstLine="200"/>
        <w:jc w:val="both"/>
      </w:pPr>
      <w:r>
        <w:t>During integration we observed that google/gemma-3n-e4b-it:free rejects requests containing a system-role message with HTTP 400 and body "Developer instruction is not enabled for models/gemma-3n-e4b-it". The fix, applied in rag_brain.py, llm_translator.py, and fx_pm_executor.py, is to concatenate the system prompt into the user turn: messages = [{role: user, content: S ⊕ U}], where S is the system prompt and U the user query. This micro-engineering detail is absent from the Gemma-3n technical report [29] yet is mandatory for any production RAG stack targeting the free tier.</w:t>
      </w:r>
    </w:p>
    <w:p w14:paraId="17A369CA" w14:textId="77777777" w:rsidR="00675273" w:rsidRDefault="00000000">
      <w:pPr>
        <w:spacing w:before="140" w:after="60"/>
      </w:pPr>
      <w:r>
        <w:rPr>
          <w:i/>
          <w:iCs/>
        </w:rPr>
        <w:t>C. Rate-Limiting and Caching</w:t>
      </w:r>
    </w:p>
    <w:p w14:paraId="731E1A69" w14:textId="77777777" w:rsidR="00675273" w:rsidRDefault="00000000">
      <w:pPr>
        <w:spacing w:after="60"/>
        <w:ind w:firstLine="200"/>
        <w:jc w:val="both"/>
      </w:pPr>
      <w:proofErr w:type="spellStart"/>
      <w:r>
        <w:t>OpenRouter's</w:t>
      </w:r>
      <w:proofErr w:type="spellEnd"/>
      <w:r>
        <w:t xml:space="preserve"> free tier enforces 20 RPM per model. </w:t>
      </w:r>
      <w:proofErr w:type="spellStart"/>
      <w:r>
        <w:t>Hedgyyyboo</w:t>
      </w:r>
      <w:proofErr w:type="spellEnd"/>
      <w:r>
        <w:t xml:space="preserve"> therefore (a) generates the morning brief on-demand (user clicks Refresh Brief), (b) caches the result server-side until the next manual refresh or the 08:00 IST </w:t>
      </w:r>
      <w:proofErr w:type="spellStart"/>
      <w:r>
        <w:t>cron</w:t>
      </w:r>
      <w:proofErr w:type="spellEnd"/>
      <w:r>
        <w:t>, and (c) serializes all other LLM calls behind a 12-second mutex. Fig. 2 shows the empirical latency distribution across 50 successive morning-brief generations.</w:t>
      </w:r>
    </w:p>
    <w:p w14:paraId="64E8188A" w14:textId="77777777" w:rsidR="006752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61784B8" wp14:editId="7556BAFA">
            <wp:extent cx="3249529" cy="1952625"/>
            <wp:effectExtent l="0" t="0" r="1905" b="3175"/>
            <wp:docPr id="1969301026" name="fig2_latency.png" descr="Fig. 2. End-to-end morning-brief generation latency over 50 runs; mean 7.2 s, σ = 1.1 s. No request was throttled thanks to the 12 s polite delay." title="Fig. 2. End-to-end morning-brief generation latency over 50 runs; mean 7.2 s, σ = 1.1 s. No request was throttled thanks to the 12 s polite del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411" cy="195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63A3" w14:textId="77777777" w:rsidR="00675273" w:rsidRDefault="00000000">
      <w:pPr>
        <w:spacing w:after="160"/>
        <w:jc w:val="both"/>
      </w:pPr>
      <w:r>
        <w:rPr>
          <w:sz w:val="18"/>
          <w:szCs w:val="18"/>
        </w:rPr>
        <w:t>Fig. 2. End-to-end morning-brief generation latency over 50 runs; mean 7.2 s, σ = 1.1 s. No request was throttled thanks to the 12 s polite delay.</w:t>
      </w:r>
    </w:p>
    <w:p w14:paraId="71B54791" w14:textId="77777777" w:rsidR="00675273" w:rsidRDefault="00000000">
      <w:pPr>
        <w:spacing w:before="140" w:after="60"/>
      </w:pPr>
      <w:r>
        <w:rPr>
          <w:i/>
          <w:iCs/>
        </w:rPr>
        <w:t>D. Trade-Execution Decision Loop</w:t>
      </w:r>
    </w:p>
    <w:p w14:paraId="52878055" w14:textId="77777777" w:rsidR="00675273" w:rsidRDefault="00000000">
      <w:pPr>
        <w:spacing w:after="60"/>
        <w:ind w:firstLine="200"/>
        <w:jc w:val="both"/>
      </w:pPr>
      <w:r>
        <w:t>The FX desk exposes POST /</w:t>
      </w:r>
      <w:proofErr w:type="spellStart"/>
      <w:r>
        <w:t>api</w:t>
      </w:r>
      <w:proofErr w:type="spellEnd"/>
      <w:r>
        <w:t>/</w:t>
      </w:r>
      <w:proofErr w:type="spellStart"/>
      <w:r>
        <w:t>fx</w:t>
      </w:r>
      <w:proofErr w:type="spellEnd"/>
      <w:r>
        <w:t>/execute. The request triggers OU-MLE, Hurst, Neural-SDE, Forex-Factory lookup, and then a Gemma-3n call with the JSON-serialized numeric context. Output is parsed with a strict BUY | SELL | HOLD regex; any other string becomes HOLD by default—a conservative fail-safe against LLM hallucination.</w:t>
      </w:r>
    </w:p>
    <w:p w14:paraId="3353240E" w14:textId="77777777" w:rsidR="00675273" w:rsidRDefault="00000000">
      <w:pPr>
        <w:spacing w:before="240" w:after="120"/>
        <w:jc w:val="center"/>
      </w:pPr>
      <w:r>
        <w:rPr>
          <w:b/>
          <w:bCs/>
        </w:rPr>
        <w:t>VI.  EXPERIMENTAL SETUP</w:t>
      </w:r>
    </w:p>
    <w:p w14:paraId="179B0B80" w14:textId="77777777" w:rsidR="00675273" w:rsidRDefault="00000000">
      <w:pPr>
        <w:spacing w:before="140" w:after="60"/>
      </w:pPr>
      <w:r>
        <w:rPr>
          <w:i/>
          <w:iCs/>
        </w:rPr>
        <w:t>A. Data</w:t>
      </w:r>
    </w:p>
    <w:p w14:paraId="3214DBE2" w14:textId="77777777" w:rsidR="00675273" w:rsidRDefault="00000000">
      <w:pPr>
        <w:spacing w:after="60"/>
        <w:ind w:firstLine="200"/>
        <w:jc w:val="both"/>
      </w:pPr>
      <w:r>
        <w:t>We use two years of daily data (15 Apr 2024 – 14 Apr 2026): (</w:t>
      </w:r>
      <w:proofErr w:type="spellStart"/>
      <w:r>
        <w:t>i</w:t>
      </w:r>
      <w:proofErr w:type="spellEnd"/>
      <w:r>
        <w:t>) 28 FX pairs spanning G10 and EM (source: Yahoo Finance); (ii) the 11-tenor U.S. Treasury yield curve (source: U.S. Treasury); and (iii) 50 S&amp;P 500 constituents representing all 11 GICS sectors. The news corpus is a rolling 6-hour window of Google News RSS across ten categories.</w:t>
      </w:r>
    </w:p>
    <w:p w14:paraId="65443149" w14:textId="77777777" w:rsidR="00675273" w:rsidRDefault="00000000">
      <w:pPr>
        <w:spacing w:before="140" w:after="60"/>
      </w:pPr>
      <w:r>
        <w:rPr>
          <w:i/>
          <w:iCs/>
        </w:rPr>
        <w:t>B. Hardware and Software</w:t>
      </w:r>
    </w:p>
    <w:p w14:paraId="0423A29A" w14:textId="77777777" w:rsidR="00675273" w:rsidRDefault="00000000">
      <w:pPr>
        <w:spacing w:after="60"/>
        <w:ind w:firstLine="200"/>
        <w:jc w:val="both"/>
      </w:pPr>
      <w:r>
        <w:t xml:space="preserve">All experiments run on a single 2023 MacBook Pro (Apple Silicon, 16 GB RAM). Backend: Python 3.11, </w:t>
      </w:r>
      <w:proofErr w:type="spellStart"/>
      <w:r>
        <w:t>FastAPI</w:t>
      </w:r>
      <w:proofErr w:type="spellEnd"/>
      <w:r>
        <w:t xml:space="preserve"> 0.115, NumPy 1.26, SciPy 1.14, scikit-learn 1.5, </w:t>
      </w:r>
      <w:proofErr w:type="spellStart"/>
      <w:r>
        <w:t>APScheduler</w:t>
      </w:r>
      <w:proofErr w:type="spellEnd"/>
      <w:r>
        <w:t xml:space="preserve"> 3.10, </w:t>
      </w:r>
      <w:proofErr w:type="spellStart"/>
      <w:r>
        <w:t>SQLAlchemy</w:t>
      </w:r>
      <w:proofErr w:type="spellEnd"/>
      <w:r>
        <w:t xml:space="preserve"> 2 with SQLite. Frontend: Next.js 16.1.6, React 19, Recharts 2.12. LLM: google/gemma-3n-e4b-it:free via </w:t>
      </w:r>
      <w:proofErr w:type="spellStart"/>
      <w:r>
        <w:t>OpenRouter</w:t>
      </w:r>
      <w:proofErr w:type="spellEnd"/>
      <w:r>
        <w:t>.</w:t>
      </w:r>
    </w:p>
    <w:p w14:paraId="6621A2B1" w14:textId="77777777" w:rsidR="00675273" w:rsidRDefault="00000000">
      <w:pPr>
        <w:spacing w:before="140" w:after="60"/>
      </w:pPr>
      <w:r>
        <w:rPr>
          <w:i/>
          <w:iCs/>
        </w:rPr>
        <w:t>C. Evaluation Metrics</w:t>
      </w:r>
    </w:p>
    <w:p w14:paraId="336B5BB5" w14:textId="77777777" w:rsidR="00675273" w:rsidRDefault="00000000">
      <w:pPr>
        <w:spacing w:after="60"/>
        <w:ind w:firstLine="200"/>
        <w:jc w:val="both"/>
      </w:pPr>
      <w:r>
        <w:t xml:space="preserve">Factor variance explained (PCA): cumulative eigenvalue share. Half-life error (OU): |τ̂_½ − τ_½^boot| over 1000 bootstraps. </w:t>
      </w:r>
      <w:proofErr w:type="spellStart"/>
      <w:r>
        <w:t>Backtest</w:t>
      </w:r>
      <w:proofErr w:type="spellEnd"/>
      <w:r>
        <w:t xml:space="preserve"> Sharpe of an OU mean-reversion strategy on the top-5 half-life FX pairs. Morning-brief latency (s) and hallucination rate (manually audited on 20 briefs).</w:t>
      </w:r>
    </w:p>
    <w:p w14:paraId="38AA0ED0" w14:textId="77777777" w:rsidR="00675273" w:rsidRDefault="00000000">
      <w:pPr>
        <w:spacing w:before="240" w:after="120"/>
        <w:jc w:val="center"/>
      </w:pPr>
      <w:r>
        <w:rPr>
          <w:b/>
          <w:bCs/>
        </w:rPr>
        <w:t>VII.  RESULTS</w:t>
      </w:r>
    </w:p>
    <w:p w14:paraId="6F071627" w14:textId="77777777" w:rsidR="00675273" w:rsidRDefault="00000000">
      <w:pPr>
        <w:spacing w:before="140" w:after="60"/>
      </w:pPr>
      <w:r>
        <w:rPr>
          <w:i/>
          <w:iCs/>
        </w:rPr>
        <w:t>A. PCA Yield-Curve Decomposition</w:t>
      </w:r>
    </w:p>
    <w:p w14:paraId="7DE9D924" w14:textId="77777777" w:rsidR="00675273" w:rsidRDefault="00000000">
      <w:pPr>
        <w:spacing w:after="60"/>
        <w:ind w:firstLine="200"/>
        <w:jc w:val="both"/>
      </w:pPr>
      <w:r>
        <w:t xml:space="preserve">Fig. 3 reports the scree plot over the full two-year window. The first three principal components explain 91.3%, 6.4%, and 1.0% of the total variance (cumulative 98.7%), consistent with </w:t>
      </w:r>
      <w:proofErr w:type="spellStart"/>
      <w:r>
        <w:t>Litterman</w:t>
      </w:r>
      <w:proofErr w:type="spellEnd"/>
      <w:r>
        <w:t>–</w:t>
      </w:r>
      <w:proofErr w:type="spellStart"/>
      <w:r>
        <w:t>Scheinkman</w:t>
      </w:r>
      <w:proofErr w:type="spellEnd"/>
      <w:r>
        <w:t xml:space="preserve"> [11].</w:t>
      </w:r>
    </w:p>
    <w:p w14:paraId="0F3C2767" w14:textId="77777777" w:rsidR="006752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4486A9E" wp14:editId="392EFADA">
            <wp:extent cx="4476750" cy="2000250"/>
            <wp:effectExtent l="0" t="0" r="0" b="0"/>
            <wp:docPr id="757921864" name="fig3_scree.png" descr="Fig. 3. Scree plot of U.S. Treasury yield-change PCA. PC1–PC3 capture 98.7% of variance." title="Fig. 3. Scree plot of U.S. Treasury yield-change PCA. PC1–PC3 capture 98.7% of vari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4E7F" w14:textId="77777777" w:rsidR="00675273" w:rsidRDefault="00000000">
      <w:pPr>
        <w:spacing w:after="160"/>
        <w:jc w:val="both"/>
      </w:pPr>
      <w:r>
        <w:rPr>
          <w:sz w:val="18"/>
          <w:szCs w:val="18"/>
        </w:rPr>
        <w:t>Fig. 3. Scree plot of U.S. Treasury yield-change PCA. PC1–PC3 capture 98.7% of variance.</w:t>
      </w:r>
    </w:p>
    <w:p w14:paraId="19901AD5" w14:textId="77777777" w:rsidR="00675273" w:rsidRDefault="00000000">
      <w:pPr>
        <w:spacing w:after="60"/>
        <w:ind w:firstLine="200"/>
        <w:jc w:val="both"/>
      </w:pPr>
      <w:r>
        <w:t>Fig. 4 plots the loadings. PC1 is roughly flat across tenors (Level), PC2 monotonically increases (Slope), and PC3 is hump-shaped (Curvature)—textbook results.</w:t>
      </w:r>
    </w:p>
    <w:p w14:paraId="486215CD" w14:textId="77777777" w:rsidR="006752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A5A53A9" wp14:editId="25AEE5D7">
            <wp:extent cx="2925536" cy="2047875"/>
            <wp:effectExtent l="0" t="0" r="0" b="0"/>
            <wp:docPr id="1397876665" name="fig4_loadings.png" descr="Fig. 4. PC1–PC3 loadings as a function of tenor. Replicates Litterman–Scheinkman." title="Fig. 4. PC1–PC3 loadings as a function of tenor. Replicates Litterman–Scheinkm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970" cy="206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2AB1" w14:textId="77777777" w:rsidR="00675273" w:rsidRDefault="00000000">
      <w:pPr>
        <w:spacing w:after="160"/>
        <w:jc w:val="both"/>
      </w:pPr>
      <w:r>
        <w:rPr>
          <w:sz w:val="18"/>
          <w:szCs w:val="18"/>
        </w:rPr>
        <w:t xml:space="preserve">Fig. 4. PC1–PC3 loadings as a function of tenor. Replicates </w:t>
      </w:r>
      <w:proofErr w:type="spellStart"/>
      <w:r>
        <w:rPr>
          <w:sz w:val="18"/>
          <w:szCs w:val="18"/>
        </w:rPr>
        <w:t>Litterman</w:t>
      </w:r>
      <w:proofErr w:type="spellEnd"/>
      <w:r>
        <w:rPr>
          <w:sz w:val="18"/>
          <w:szCs w:val="18"/>
        </w:rPr>
        <w:t>–</w:t>
      </w:r>
      <w:proofErr w:type="spellStart"/>
      <w:r>
        <w:rPr>
          <w:sz w:val="18"/>
          <w:szCs w:val="18"/>
        </w:rPr>
        <w:t>Scheinkman</w:t>
      </w:r>
      <w:proofErr w:type="spellEnd"/>
      <w:r>
        <w:rPr>
          <w:sz w:val="18"/>
          <w:szCs w:val="18"/>
        </w:rPr>
        <w:t>.</w:t>
      </w:r>
    </w:p>
    <w:p w14:paraId="59D1C49B" w14:textId="77777777" w:rsidR="00675273" w:rsidRDefault="00000000">
      <w:pPr>
        <w:spacing w:before="140" w:after="60"/>
      </w:pPr>
      <w:r>
        <w:rPr>
          <w:i/>
          <w:iCs/>
        </w:rPr>
        <w:t>B. OU Mean-Reversion Diagnostics</w:t>
      </w:r>
    </w:p>
    <w:p w14:paraId="5F705555" w14:textId="77777777" w:rsidR="00675273" w:rsidRDefault="00000000">
      <w:pPr>
        <w:spacing w:after="60"/>
        <w:ind w:firstLine="200"/>
        <w:jc w:val="both"/>
      </w:pPr>
      <w:r>
        <w:t>Table II reports OU parameters for the five most mean-reverting G10 crosses (ranked by κ̂). EUR/USD has τ̂_½ ≈ 19.9 days; the t-statistic −2.68 is below the 10% Dickey–Fuller critical value, marginally significant. Bootstrap (1000 resamples) confirms the estimator: the absolute error is &lt; 1.4 days at the 95% CI across all pairs.</w:t>
      </w:r>
    </w:p>
    <w:p w14:paraId="738694B6" w14:textId="77777777" w:rsidR="00675273" w:rsidRDefault="00000000">
      <w:pPr>
        <w:spacing w:before="160" w:after="60"/>
        <w:jc w:val="center"/>
      </w:pPr>
      <w:r>
        <w:rPr>
          <w:b/>
          <w:bCs/>
          <w:sz w:val="18"/>
          <w:szCs w:val="18"/>
        </w:rPr>
        <w:t>TABLE II OU MLE PARAMETERS ON THE TOP-5 MEAN-REVERTING G10 CROSSES (2024–2026)</w:t>
      </w:r>
    </w:p>
    <w:tbl>
      <w:tblPr>
        <w:tblW w:w="3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"/>
        <w:gridCol w:w="435"/>
        <w:gridCol w:w="627"/>
        <w:gridCol w:w="525"/>
        <w:gridCol w:w="435"/>
        <w:gridCol w:w="537"/>
      </w:tblGrid>
      <w:tr w:rsidR="00675273" w14:paraId="5648DD89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040D78" w14:textId="77777777" w:rsidR="006752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Pair</w:t>
            </w:r>
          </w:p>
        </w:tc>
        <w:tc>
          <w:tcPr>
            <w:tcW w:w="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5781A" w14:textId="77777777" w:rsidR="006752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κ̂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5D7088" w14:textId="77777777" w:rsidR="006752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θ̂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B3119D" w14:textId="77777777" w:rsidR="006752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σ̂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B75F6C" w14:textId="77777777" w:rsidR="006752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τ_½ (d)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D46C3B" w14:textId="77777777" w:rsidR="006752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t-stat</w:t>
            </w:r>
          </w:p>
        </w:tc>
      </w:tr>
      <w:tr w:rsidR="00675273" w14:paraId="3548645F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67C343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EUR/USD</w:t>
            </w:r>
          </w:p>
        </w:tc>
        <w:tc>
          <w:tcPr>
            <w:tcW w:w="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BAA9CB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8.80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10C363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0.150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24835B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0.076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D02474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19.9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1373A5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−2.68</w:t>
            </w:r>
          </w:p>
        </w:tc>
      </w:tr>
      <w:tr w:rsidR="00675273" w14:paraId="7BCE8E1F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3F6BDA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USD/JPY</w:t>
            </w:r>
          </w:p>
        </w:tc>
        <w:tc>
          <w:tcPr>
            <w:tcW w:w="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194DC7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6.41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C9C55A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5.082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A4E36B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0.094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B52B8F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27.3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54BC75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−2.31</w:t>
            </w:r>
          </w:p>
        </w:tc>
      </w:tr>
      <w:tr w:rsidR="00675273" w14:paraId="7CCCC630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2F2F40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GBP/USD</w:t>
            </w:r>
          </w:p>
        </w:tc>
        <w:tc>
          <w:tcPr>
            <w:tcW w:w="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48AFC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5.77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C4AC22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0.239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C4BDF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0.082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C79AB4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30.4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86E35A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−2.12</w:t>
            </w:r>
          </w:p>
        </w:tc>
      </w:tr>
      <w:tr w:rsidR="00675273" w14:paraId="43AA1E2E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C1F1D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AUD/USD</w:t>
            </w:r>
          </w:p>
        </w:tc>
        <w:tc>
          <w:tcPr>
            <w:tcW w:w="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A28927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4.15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749367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−0.398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47C863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0.101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DF3C02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42.3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0DDB7E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−1.94</w:t>
            </w:r>
          </w:p>
        </w:tc>
      </w:tr>
      <w:tr w:rsidR="00675273" w14:paraId="0B6B802A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54A765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USD/CAD</w:t>
            </w:r>
          </w:p>
        </w:tc>
        <w:tc>
          <w:tcPr>
            <w:tcW w:w="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A6C1FA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3.89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6C906C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0.317</w:t>
            </w:r>
          </w:p>
        </w:tc>
        <w:tc>
          <w:tcPr>
            <w:tcW w:w="5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D8222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0.068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A638B3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45.1</w:t>
            </w:r>
          </w:p>
        </w:tc>
        <w:tc>
          <w:tcPr>
            <w:tcW w:w="5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A2FE0" w14:textId="77777777" w:rsidR="00675273" w:rsidRDefault="00000000">
            <w:pPr>
              <w:jc w:val="center"/>
            </w:pPr>
            <w:r>
              <w:rPr>
                <w:sz w:val="18"/>
                <w:szCs w:val="18"/>
              </w:rPr>
              <w:t>−1.86</w:t>
            </w:r>
          </w:p>
        </w:tc>
      </w:tr>
    </w:tbl>
    <w:p w14:paraId="3620924A" w14:textId="77777777" w:rsidR="00675273" w:rsidRDefault="00675273">
      <w:pPr>
        <w:spacing w:after="160"/>
      </w:pPr>
    </w:p>
    <w:p w14:paraId="1A990238" w14:textId="77777777" w:rsidR="00675273" w:rsidRDefault="00000000">
      <w:pPr>
        <w:spacing w:before="140" w:after="60"/>
      </w:pPr>
      <w:r>
        <w:rPr>
          <w:i/>
          <w:iCs/>
        </w:rPr>
        <w:t xml:space="preserve">C. </w:t>
      </w:r>
      <w:proofErr w:type="spellStart"/>
      <w:r>
        <w:rPr>
          <w:i/>
          <w:iCs/>
        </w:rPr>
        <w:t>Backtest</w:t>
      </w:r>
      <w:proofErr w:type="spellEnd"/>
      <w:r>
        <w:rPr>
          <w:i/>
          <w:iCs/>
        </w:rPr>
        <w:t>: OU Mean-Reversion Strategy</w:t>
      </w:r>
    </w:p>
    <w:p w14:paraId="7AF6CFF1" w14:textId="77777777" w:rsidR="00675273" w:rsidRDefault="00000000">
      <w:pPr>
        <w:spacing w:after="60"/>
        <w:ind w:firstLine="200"/>
        <w:jc w:val="both"/>
      </w:pPr>
      <w:r>
        <w:t>Entering a position when |</w:t>
      </w:r>
      <w:proofErr w:type="spellStart"/>
      <w:r>
        <w:t>X_t</w:t>
      </w:r>
      <w:proofErr w:type="spellEnd"/>
      <w:r>
        <w:t xml:space="preserve"> − θ̂| &gt; 1.5 σ̂ and exiting at θ̂, the equal-weighted top-5 portfolio returns a </w:t>
      </w:r>
      <w:proofErr w:type="spellStart"/>
      <w:r>
        <w:t>backtested</w:t>
      </w:r>
      <w:proofErr w:type="spellEnd"/>
      <w:r>
        <w:t xml:space="preserve"> Sharpe of 1.38 (gross, pre-TC). Fig. 5 plots the equity curve versus a naïve carry benchmark.</w:t>
      </w:r>
    </w:p>
    <w:p w14:paraId="69945A31" w14:textId="77777777" w:rsidR="006752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35AEADD" wp14:editId="1611779A">
            <wp:extent cx="3200834" cy="2047528"/>
            <wp:effectExtent l="0" t="0" r="0" b="0"/>
            <wp:docPr id="1029189139" name="fig5_backtest.png" descr="Fig. 5. Cumulative gross return of the OU strategy versus a naïve carry benchmark." title="Fig. 5. Cumulative gross return of the OU strategy versus a naïve carry benchma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386" cy="206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FD90" w14:textId="77777777" w:rsidR="00675273" w:rsidRDefault="00000000">
      <w:pPr>
        <w:spacing w:after="160"/>
        <w:jc w:val="both"/>
      </w:pPr>
      <w:r>
        <w:rPr>
          <w:sz w:val="18"/>
          <w:szCs w:val="18"/>
        </w:rPr>
        <w:t>Fig. 5. Cumulative gross return of the OU strategy versus a naïve carry benchmark.</w:t>
      </w:r>
    </w:p>
    <w:p w14:paraId="06906F82" w14:textId="77777777" w:rsidR="00675273" w:rsidRDefault="00000000">
      <w:pPr>
        <w:spacing w:before="140" w:after="60"/>
      </w:pPr>
      <w:r>
        <w:rPr>
          <w:i/>
          <w:iCs/>
        </w:rPr>
        <w:t>D. GARCH Tail-Risk Calibration</w:t>
      </w:r>
    </w:p>
    <w:p w14:paraId="6E127ACE" w14:textId="77777777" w:rsidR="00675273" w:rsidRDefault="00000000">
      <w:pPr>
        <w:spacing w:after="60"/>
        <w:ind w:firstLine="200"/>
        <w:jc w:val="both"/>
      </w:pPr>
      <w:r>
        <w:t>Across the 50-stock universe, the median GARCH(1,1) fit yields α̂ = 0.081, β̂ = 0.894, ω̂ = 1.1 × 10⁻⁵, satisfying α + β = 0.975 &lt; 1. Kupiec's unconditional-coverage test [34] at α = 0.01 fails to reject the null of correct coverage for 47 out of 50 tickers (94%).</w:t>
      </w:r>
    </w:p>
    <w:p w14:paraId="55FE33F6" w14:textId="77777777" w:rsidR="00675273" w:rsidRDefault="00000000">
      <w:pPr>
        <w:spacing w:before="140" w:after="60"/>
      </w:pPr>
      <w:r>
        <w:rPr>
          <w:i/>
          <w:iCs/>
        </w:rPr>
        <w:t>E. LLM Latency and Hallucination Audit</w:t>
      </w:r>
    </w:p>
    <w:p w14:paraId="141C3944" w14:textId="77777777" w:rsidR="00675273" w:rsidRDefault="00000000">
      <w:pPr>
        <w:spacing w:after="60"/>
        <w:ind w:firstLine="200"/>
        <w:jc w:val="both"/>
      </w:pPr>
      <w:r>
        <w:t>Fig. 2 showed latency. Of 20 manually audited morning briefs, 1 contained a factual error (an outdated ECB rate); the remaining 19 (95%) were grounded. The single error was traced to a stale RSS cache, not to the LLM.</w:t>
      </w:r>
    </w:p>
    <w:p w14:paraId="19CD9177" w14:textId="77777777" w:rsidR="00675273" w:rsidRDefault="00000000">
      <w:pPr>
        <w:spacing w:before="140" w:after="60"/>
      </w:pPr>
      <w:r>
        <w:rPr>
          <w:i/>
          <w:iCs/>
        </w:rPr>
        <w:t>F. UI Performance</w:t>
      </w:r>
    </w:p>
    <w:p w14:paraId="7E5238B3" w14:textId="77777777" w:rsidR="00675273" w:rsidRDefault="00000000">
      <w:pPr>
        <w:spacing w:after="60"/>
        <w:ind w:firstLine="200"/>
        <w:jc w:val="both"/>
      </w:pPr>
      <w:r>
        <w:t xml:space="preserve">After applying the overflow-hidden grid-cell pattern (row heights: Main 300 / 380 / 400 </w:t>
      </w:r>
      <w:proofErr w:type="spellStart"/>
      <w:r>
        <w:t>px</w:t>
      </w:r>
      <w:proofErr w:type="spellEnd"/>
      <w:r>
        <w:t xml:space="preserve">, Fixed-Income 450 / 450 </w:t>
      </w:r>
      <w:proofErr w:type="spellStart"/>
      <w:r>
        <w:t>px</w:t>
      </w:r>
      <w:proofErr w:type="spellEnd"/>
      <w:r>
        <w:t xml:space="preserve">, FX Desk 450 / 420 / 450 </w:t>
      </w:r>
      <w:proofErr w:type="spellStart"/>
      <w:r>
        <w:t>px</w:t>
      </w:r>
      <w:proofErr w:type="spellEnd"/>
      <w:r>
        <w:t>), all three desks render with zero canvas overflow. Time-to-interactive (Chrome DevTools, cold load) averages 1.8 s.</w:t>
      </w:r>
    </w:p>
    <w:p w14:paraId="33562D41" w14:textId="77777777" w:rsidR="00675273" w:rsidRDefault="00000000">
      <w:pPr>
        <w:spacing w:before="240" w:after="120"/>
        <w:jc w:val="center"/>
      </w:pPr>
      <w:r>
        <w:rPr>
          <w:b/>
          <w:bCs/>
        </w:rPr>
        <w:t>VIII.  DISCUSSION AND LIMITATIONS</w:t>
      </w:r>
    </w:p>
    <w:p w14:paraId="0C12E49E" w14:textId="77777777" w:rsidR="00675273" w:rsidRDefault="00000000">
      <w:pPr>
        <w:spacing w:before="140" w:after="60"/>
      </w:pPr>
      <w:r>
        <w:rPr>
          <w:i/>
          <w:iCs/>
        </w:rPr>
        <w:t>A. Strengths</w:t>
      </w:r>
    </w:p>
    <w:p w14:paraId="4BD9383F" w14:textId="77777777" w:rsidR="00675273" w:rsidRDefault="00000000">
      <w:pPr>
        <w:spacing w:after="60"/>
        <w:ind w:firstLine="200"/>
        <w:jc w:val="both"/>
      </w:pPr>
      <w:proofErr w:type="spellStart"/>
      <w:r>
        <w:t>Hedgyyyboo</w:t>
      </w:r>
      <w:proofErr w:type="spellEnd"/>
      <w:r>
        <w:t xml:space="preserve"> demonstrates that a zero-budget RAG stack—free </w:t>
      </w:r>
      <w:proofErr w:type="spellStart"/>
      <w:r>
        <w:t>OpenRouter</w:t>
      </w:r>
      <w:proofErr w:type="spellEnd"/>
      <w:r>
        <w:t xml:space="preserve"> tier, local SQLite, commodity laptop—can produce a multi-asset morning brief whose factual grounding approaches 95%. The fusion of eight classical numerical models with a modern LLM is, to our knowledge, the first open-source reference of its kind.</w:t>
      </w:r>
    </w:p>
    <w:p w14:paraId="674FA13A" w14:textId="77777777" w:rsidR="00675273" w:rsidRDefault="00000000">
      <w:pPr>
        <w:spacing w:before="140" w:after="60"/>
      </w:pPr>
      <w:r>
        <w:rPr>
          <w:i/>
          <w:iCs/>
        </w:rPr>
        <w:t>B. Limitations</w:t>
      </w:r>
    </w:p>
    <w:p w14:paraId="74E90DD3" w14:textId="77777777" w:rsidR="00675273" w:rsidRDefault="00000000">
      <w:pPr>
        <w:spacing w:after="60"/>
        <w:ind w:firstLine="200"/>
        <w:jc w:val="both"/>
      </w:pPr>
      <w:r>
        <w:t xml:space="preserve">Free-tier brittleness. </w:t>
      </w:r>
      <w:proofErr w:type="spellStart"/>
      <w:r>
        <w:t>OpenRouter</w:t>
      </w:r>
      <w:proofErr w:type="spellEnd"/>
      <w:r>
        <w:t xml:space="preserve"> rate limits (20 RPM) preclude real-time per-tick execution; the framework is therefore suited to daily or intraday-bucket decision cycles, not high-frequency. Small-model constraint. Gemma-3n-E4B has </w:t>
      </w:r>
      <w:r>
        <w:lastRenderedPageBreak/>
        <w:t xml:space="preserve">4 B parameters; </w:t>
      </w:r>
      <w:proofErr w:type="spellStart"/>
      <w:r>
        <w:t>FinQA</w:t>
      </w:r>
      <w:proofErr w:type="spellEnd"/>
      <w:r>
        <w:t xml:space="preserve"> accuracy [33] is lower than </w:t>
      </w:r>
      <w:proofErr w:type="spellStart"/>
      <w:r>
        <w:t>BloombergGPT</w:t>
      </w:r>
      <w:proofErr w:type="spellEnd"/>
      <w:r>
        <w:t>. Quantized larger open models (Llama-3.1-70B-Q4) would close this gap at the cost of dedicated GPU inference. Single-factor rates model. Hull–White cannot reprice cap/floor skew; a stochastic-volatility two-factor Cheyette would be a natural extension. LLM-as-judge risk. Our audit sample (n = 20) is small; a larger LLM-as-judge [32] pipeline is planned.</w:t>
      </w:r>
    </w:p>
    <w:p w14:paraId="2BC45D1A" w14:textId="77777777" w:rsidR="00675273" w:rsidRDefault="00000000">
      <w:pPr>
        <w:spacing w:before="140" w:after="60"/>
      </w:pPr>
      <w:r>
        <w:rPr>
          <w:i/>
          <w:iCs/>
        </w:rPr>
        <w:t>C. Threats to Validity</w:t>
      </w:r>
    </w:p>
    <w:p w14:paraId="27347541" w14:textId="77777777" w:rsidR="00675273" w:rsidRDefault="00000000">
      <w:pPr>
        <w:spacing w:after="60"/>
        <w:ind w:firstLine="200"/>
        <w:jc w:val="both"/>
      </w:pPr>
      <w:r>
        <w:t xml:space="preserve">The </w:t>
      </w:r>
      <w:proofErr w:type="spellStart"/>
      <w:r>
        <w:t>backtest</w:t>
      </w:r>
      <w:proofErr w:type="spellEnd"/>
      <w:r>
        <w:t xml:space="preserve"> is in-sample on the same window used for OU calibration; walk-forward analysis is left to future work. Gemma-3n free-tier </w:t>
      </w:r>
      <w:proofErr w:type="spellStart"/>
      <w:r>
        <w:t>behavior</w:t>
      </w:r>
      <w:proofErr w:type="spellEnd"/>
      <w:r>
        <w:t xml:space="preserve"> is subject to silent model-version updates by Google.</w:t>
      </w:r>
    </w:p>
    <w:p w14:paraId="22830B0B" w14:textId="77777777" w:rsidR="00675273" w:rsidRDefault="00000000">
      <w:pPr>
        <w:spacing w:before="240" w:after="120"/>
        <w:jc w:val="center"/>
      </w:pPr>
      <w:r>
        <w:rPr>
          <w:b/>
          <w:bCs/>
        </w:rPr>
        <w:t>IX.  CONCLUSION</w:t>
      </w:r>
    </w:p>
    <w:p w14:paraId="184B62F7" w14:textId="77777777" w:rsidR="00675273" w:rsidRDefault="00000000">
      <w:pPr>
        <w:spacing w:after="60"/>
        <w:ind w:firstLine="200"/>
        <w:jc w:val="both"/>
      </w:pPr>
      <w:r>
        <w:t xml:space="preserve">We have presented </w:t>
      </w:r>
      <w:proofErr w:type="spellStart"/>
      <w:r>
        <w:t>Hedgyyyboo</w:t>
      </w:r>
      <w:proofErr w:type="spellEnd"/>
      <w:r>
        <w:t xml:space="preserve">, a reproducible reference platform that couples classical stochastic-calculus pricing engines with a rate-limited, free-tier, open-weight LLM. The system achieves quantitatively sound outputs (PCA variance 98.7%, OU half-life error &lt; 1.4 d, GARCH coverage 94%) and produces a narrative morning macro brief in ~7 s at zero marginal cost. We documented a non-obvious Gemma-3n system-prompt merge requirement that is absent from the model card but mandatory in production. Future work will incorporate two-factor Cheyette rates, walk-forward </w:t>
      </w:r>
      <w:proofErr w:type="spellStart"/>
      <w:r>
        <w:t>backtesting</w:t>
      </w:r>
      <w:proofErr w:type="spellEnd"/>
      <w:r>
        <w:t>, and LLM-as-judge factual grounding.</w:t>
      </w:r>
    </w:p>
    <w:p w14:paraId="1F205987" w14:textId="77777777" w:rsidR="00675273" w:rsidRDefault="00000000">
      <w:pPr>
        <w:spacing w:before="200" w:after="80"/>
        <w:jc w:val="center"/>
      </w:pPr>
      <w:r>
        <w:rPr>
          <w:b/>
          <w:bCs/>
        </w:rPr>
        <w:t>ACKNOWLEDGMENT</w:t>
      </w:r>
    </w:p>
    <w:p w14:paraId="37174192" w14:textId="77777777" w:rsidR="00675273" w:rsidRDefault="00000000">
      <w:pPr>
        <w:spacing w:after="60"/>
        <w:ind w:firstLine="200"/>
        <w:jc w:val="both"/>
      </w:pPr>
      <w:r>
        <w:t xml:space="preserve">The author thanks the </w:t>
      </w:r>
      <w:proofErr w:type="spellStart"/>
      <w:r>
        <w:t>OpenRouter</w:t>
      </w:r>
      <w:proofErr w:type="spellEnd"/>
      <w:r>
        <w:t xml:space="preserve"> team for the free inference tier and the Google Gemma team for releasing open weights.</w:t>
      </w:r>
    </w:p>
    <w:p w14:paraId="123B5A5B" w14:textId="77777777" w:rsidR="00675273" w:rsidRDefault="00000000">
      <w:pPr>
        <w:spacing w:before="220" w:after="120"/>
        <w:jc w:val="center"/>
      </w:pPr>
      <w:r>
        <w:rPr>
          <w:b/>
          <w:bCs/>
        </w:rPr>
        <w:t>REFERENCES</w:t>
      </w:r>
    </w:p>
    <w:p w14:paraId="0A060025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[1] F. Black and M. Scholes, "The pricing of options and corporate liabilities," J. Political Economy, vol. 81, no. 3, pp. 637–654, 1973.</w:t>
      </w:r>
    </w:p>
    <w:p w14:paraId="23404FEE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[2] S. L. Heston, "A closed-form solution for options with stochastic volatility with applications to bond and currency options," Rev. Financial Studies, vol. 6, no. 2, pp. 327–343, 1993.</w:t>
      </w:r>
    </w:p>
    <w:p w14:paraId="754711AF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[3] J. Hull and A. White, "Pricing interest-rate-derivative securities," Rev. Financial Studies, vol. 3, no. 4, pp. 573–592, 1990.</w:t>
      </w:r>
    </w:p>
    <w:p w14:paraId="427E5791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[4] O. Vasicek, "An equilibrium characterization of the term structure," J. Financial Economics, vol. 5, no. 2, pp. 177–188, 1977.</w:t>
      </w:r>
    </w:p>
    <w:p w14:paraId="03F22C39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[5] G. E. </w:t>
      </w:r>
      <w:proofErr w:type="spellStart"/>
      <w:r>
        <w:rPr>
          <w:sz w:val="18"/>
          <w:szCs w:val="18"/>
        </w:rPr>
        <w:t>Uhlenbeck</w:t>
      </w:r>
      <w:proofErr w:type="spellEnd"/>
      <w:r>
        <w:rPr>
          <w:sz w:val="18"/>
          <w:szCs w:val="18"/>
        </w:rPr>
        <w:t xml:space="preserve"> and L. S. Ornstein, "On the theory of the Brownian motion," Phys. Rev., vol. 36, pp. 823–841, 1930.</w:t>
      </w:r>
    </w:p>
    <w:p w14:paraId="7C973250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[6] G. </w:t>
      </w:r>
      <w:proofErr w:type="spellStart"/>
      <w:r>
        <w:rPr>
          <w:sz w:val="18"/>
          <w:szCs w:val="18"/>
        </w:rPr>
        <w:t>Vidyamurthy</w:t>
      </w:r>
      <w:proofErr w:type="spellEnd"/>
      <w:r>
        <w:rPr>
          <w:sz w:val="18"/>
          <w:szCs w:val="18"/>
        </w:rPr>
        <w:t>, Pairs Trading: Quantitative Methods and Analysis. Wiley, 2004.</w:t>
      </w:r>
    </w:p>
    <w:p w14:paraId="4F721C53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[7] Y. Aït-</w:t>
      </w:r>
      <w:proofErr w:type="spellStart"/>
      <w:r>
        <w:rPr>
          <w:sz w:val="18"/>
          <w:szCs w:val="18"/>
        </w:rPr>
        <w:t>Sahalia</w:t>
      </w:r>
      <w:proofErr w:type="spellEnd"/>
      <w:r>
        <w:rPr>
          <w:sz w:val="18"/>
          <w:szCs w:val="18"/>
        </w:rPr>
        <w:t xml:space="preserve">, "Maximum likelihood estimation of discretely sampled diffusions: A closed-form approximation approach," </w:t>
      </w:r>
      <w:proofErr w:type="spellStart"/>
      <w:r>
        <w:rPr>
          <w:sz w:val="18"/>
          <w:szCs w:val="18"/>
        </w:rPr>
        <w:t>Econometrica</w:t>
      </w:r>
      <w:proofErr w:type="spellEnd"/>
      <w:r>
        <w:rPr>
          <w:sz w:val="18"/>
          <w:szCs w:val="18"/>
        </w:rPr>
        <w:t>, vol. 70, no. 1, pp. 223–262, 2002.</w:t>
      </w:r>
    </w:p>
    <w:p w14:paraId="67B58054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[8] J. </w:t>
      </w:r>
      <w:proofErr w:type="spellStart"/>
      <w:r>
        <w:rPr>
          <w:sz w:val="18"/>
          <w:szCs w:val="18"/>
        </w:rPr>
        <w:t>Gatheral</w:t>
      </w:r>
      <w:proofErr w:type="spellEnd"/>
      <w:r>
        <w:rPr>
          <w:sz w:val="18"/>
          <w:szCs w:val="18"/>
        </w:rPr>
        <w:t>, The Volatility Surface: A Practitioner's Guide. Wiley, 2006.</w:t>
      </w:r>
    </w:p>
    <w:p w14:paraId="39091119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[9] F. </w:t>
      </w:r>
      <w:proofErr w:type="spellStart"/>
      <w:r>
        <w:rPr>
          <w:sz w:val="18"/>
          <w:szCs w:val="18"/>
        </w:rPr>
        <w:t>Jamshidian</w:t>
      </w:r>
      <w:proofErr w:type="spellEnd"/>
      <w:r>
        <w:rPr>
          <w:sz w:val="18"/>
          <w:szCs w:val="18"/>
        </w:rPr>
        <w:t>, "An exact bond option formula," J. Finance, vol. 44, no. 1, pp. 205–209, 1989.</w:t>
      </w:r>
    </w:p>
    <w:p w14:paraId="2BE1CC37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[10] L. Andersen, "Simple and efficient simulation of the Heston model," J. Computational Finance, vol. 11, no. 3, pp. 1–42, 2008.</w:t>
      </w:r>
    </w:p>
    <w:p w14:paraId="1064358C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[11] R. </w:t>
      </w:r>
      <w:proofErr w:type="spellStart"/>
      <w:r>
        <w:rPr>
          <w:sz w:val="18"/>
          <w:szCs w:val="18"/>
        </w:rPr>
        <w:t>Litterman</w:t>
      </w:r>
      <w:proofErr w:type="spellEnd"/>
      <w:r>
        <w:rPr>
          <w:sz w:val="18"/>
          <w:szCs w:val="18"/>
        </w:rPr>
        <w:t xml:space="preserve"> and J. </w:t>
      </w:r>
      <w:proofErr w:type="spellStart"/>
      <w:r>
        <w:rPr>
          <w:sz w:val="18"/>
          <w:szCs w:val="18"/>
        </w:rPr>
        <w:t>Scheinkman</w:t>
      </w:r>
      <w:proofErr w:type="spellEnd"/>
      <w:r>
        <w:rPr>
          <w:sz w:val="18"/>
          <w:szCs w:val="18"/>
        </w:rPr>
        <w:t>, "Common factors affecting bond returns," J. Fixed Income, vol. 1, no. 1, pp. 54–61, 1991.</w:t>
      </w:r>
    </w:p>
    <w:p w14:paraId="6F66EDFC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[12] C. R. Nelson and A. F. Siegel, "Parsimonious </w:t>
      </w:r>
      <w:proofErr w:type="spellStart"/>
      <w:r>
        <w:rPr>
          <w:sz w:val="18"/>
          <w:szCs w:val="18"/>
        </w:rPr>
        <w:t>modeling</w:t>
      </w:r>
      <w:proofErr w:type="spellEnd"/>
      <w:r>
        <w:rPr>
          <w:sz w:val="18"/>
          <w:szCs w:val="18"/>
        </w:rPr>
        <w:t xml:space="preserve"> of yield curves," J. Business, vol. 60, no. 4, pp. 473–489, 1987.</w:t>
      </w:r>
    </w:p>
    <w:p w14:paraId="5AC4CA3E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[13] L. E. O. Svensson, "Estimating and interpreting forward interest rates: Sweden 1992–1994," NBER WP 4871, 1994.</w:t>
      </w:r>
    </w:p>
    <w:p w14:paraId="4A8F835D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[14] F. X. Diebold and C. Li, "Forecasting the term structure of government bond yields," J. Econometrics, vol. 130, pp. 337–364, 2006.</w:t>
      </w:r>
    </w:p>
    <w:p w14:paraId="7EAF74A0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[15] R. F. Engle, "Autoregressive conditional heteroskedasticity with estimates of the variance of United Kingdom inflation," </w:t>
      </w:r>
      <w:proofErr w:type="spellStart"/>
      <w:r>
        <w:rPr>
          <w:sz w:val="18"/>
          <w:szCs w:val="18"/>
        </w:rPr>
        <w:t>Econometrica</w:t>
      </w:r>
      <w:proofErr w:type="spellEnd"/>
      <w:r>
        <w:rPr>
          <w:sz w:val="18"/>
          <w:szCs w:val="18"/>
        </w:rPr>
        <w:t>, vol. 50, no. 4, pp. 987–1007, 1982.</w:t>
      </w:r>
    </w:p>
    <w:p w14:paraId="2C1A2945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[16] T. Bollerslev, "Generalized autoregressive conditional heteroskedasticity," J. Econometrics, vol. 31, no. 3, pp. 307–327, 1986.</w:t>
      </w:r>
    </w:p>
    <w:p w14:paraId="02ADFB63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[17] T. Bollerslev, "A conditionally heteroskedastic time series model for speculative prices and rates of return," Rev. Economics and Statistics, vol. 69, no. 3, pp. 542–547, 1987.</w:t>
      </w:r>
    </w:p>
    <w:p w14:paraId="6791A4BB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[18] A. J. McNeil, R. Frey, and P. </w:t>
      </w:r>
      <w:proofErr w:type="spellStart"/>
      <w:r>
        <w:rPr>
          <w:sz w:val="18"/>
          <w:szCs w:val="18"/>
        </w:rPr>
        <w:t>Embrechts</w:t>
      </w:r>
      <w:proofErr w:type="spellEnd"/>
      <w:r>
        <w:rPr>
          <w:sz w:val="18"/>
          <w:szCs w:val="18"/>
        </w:rPr>
        <w:t>, Quantitative Risk Management, 2nd ed. Princeton Univ. Press, 2015.</w:t>
      </w:r>
    </w:p>
    <w:p w14:paraId="59699ABD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[19] B. B. Mandelbrot and J. W. van Ness, "Fractional Brownian motions, fractional noises and applications," SIAM Review, vol. 10, no. 4, pp. 422–437, 1968.</w:t>
      </w:r>
    </w:p>
    <w:p w14:paraId="4362185B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[20] H. E. Hurst, "Long-term storage capacity of reservoirs," Trans. ASCE, vol. 116, pp. 770–808, 1951.</w:t>
      </w:r>
    </w:p>
    <w:p w14:paraId="254D30C7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[21] P. Kidger, J. Foster, X. Li, H. Oberhauser, and T. Lyons, "Neural SDEs as infinite-dimensional GANs," in Proc. ICML, 2021, pp. 5453–5463.</w:t>
      </w:r>
    </w:p>
    <w:p w14:paraId="1D551458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[22] R. T. Q. Chen, Y. </w:t>
      </w:r>
      <w:proofErr w:type="spellStart"/>
      <w:r>
        <w:rPr>
          <w:sz w:val="18"/>
          <w:szCs w:val="18"/>
        </w:rPr>
        <w:t>Rubanova</w:t>
      </w:r>
      <w:proofErr w:type="spellEnd"/>
      <w:r>
        <w:rPr>
          <w:sz w:val="18"/>
          <w:szCs w:val="18"/>
        </w:rPr>
        <w:t xml:space="preserve">, J. Bettencourt, and D. </w:t>
      </w:r>
      <w:proofErr w:type="spellStart"/>
      <w:r>
        <w:rPr>
          <w:sz w:val="18"/>
          <w:szCs w:val="18"/>
        </w:rPr>
        <w:t>Duvenaud</w:t>
      </w:r>
      <w:proofErr w:type="spellEnd"/>
      <w:r>
        <w:rPr>
          <w:sz w:val="18"/>
          <w:szCs w:val="18"/>
        </w:rPr>
        <w:t xml:space="preserve">, "Neural ordinary differential equations," in Proc. </w:t>
      </w:r>
      <w:proofErr w:type="spellStart"/>
      <w:r>
        <w:rPr>
          <w:sz w:val="18"/>
          <w:szCs w:val="18"/>
        </w:rPr>
        <w:t>NeurIPS</w:t>
      </w:r>
      <w:proofErr w:type="spellEnd"/>
      <w:r>
        <w:rPr>
          <w:sz w:val="18"/>
          <w:szCs w:val="18"/>
        </w:rPr>
        <w:t>, 2018.</w:t>
      </w:r>
    </w:p>
    <w:p w14:paraId="63FA2379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[23] B. </w:t>
      </w:r>
      <w:proofErr w:type="spellStart"/>
      <w:r>
        <w:rPr>
          <w:sz w:val="18"/>
          <w:szCs w:val="18"/>
        </w:rPr>
        <w:t>Tzen</w:t>
      </w:r>
      <w:proofErr w:type="spellEnd"/>
      <w:r>
        <w:rPr>
          <w:sz w:val="18"/>
          <w:szCs w:val="18"/>
        </w:rPr>
        <w:t xml:space="preserve"> and M. </w:t>
      </w:r>
      <w:proofErr w:type="spellStart"/>
      <w:r>
        <w:rPr>
          <w:sz w:val="18"/>
          <w:szCs w:val="18"/>
        </w:rPr>
        <w:t>Raginsky</w:t>
      </w:r>
      <w:proofErr w:type="spellEnd"/>
      <w:r>
        <w:rPr>
          <w:sz w:val="18"/>
          <w:szCs w:val="18"/>
        </w:rPr>
        <w:t>, "Theoretical guarantees for sampling and inference in generative models with latent diffusions," in Proc. COLT, 2019, pp. 3084–3114.</w:t>
      </w:r>
    </w:p>
    <w:p w14:paraId="0E2FB8F2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[24] P. Lewis et al., "Retrieval-augmented generation for knowledge-intensive NLP tasks," in Proc. </w:t>
      </w:r>
      <w:proofErr w:type="spellStart"/>
      <w:r>
        <w:rPr>
          <w:sz w:val="18"/>
          <w:szCs w:val="18"/>
        </w:rPr>
        <w:t>NeurIPS</w:t>
      </w:r>
      <w:proofErr w:type="spellEnd"/>
      <w:r>
        <w:rPr>
          <w:sz w:val="18"/>
          <w:szCs w:val="18"/>
        </w:rPr>
        <w:t>, 2020, pp. 9459–9474.</w:t>
      </w:r>
    </w:p>
    <w:p w14:paraId="57D6C32D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[25] Y. Gao et al., "Retrieval-augmented generation for large language models: A survey," arXiv:2312.10997, 2023.</w:t>
      </w:r>
    </w:p>
    <w:p w14:paraId="650A7614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[26] D. Araci, "</w:t>
      </w:r>
      <w:proofErr w:type="spellStart"/>
      <w:r>
        <w:rPr>
          <w:sz w:val="18"/>
          <w:szCs w:val="18"/>
        </w:rPr>
        <w:t>FinBERT</w:t>
      </w:r>
      <w:proofErr w:type="spellEnd"/>
      <w:r>
        <w:rPr>
          <w:sz w:val="18"/>
          <w:szCs w:val="18"/>
        </w:rPr>
        <w:t>: Financial sentiment analysis with pre-trained language models," arXiv:1908.10063, 2019.</w:t>
      </w:r>
    </w:p>
    <w:p w14:paraId="5D60CA36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[27] H. Yang, X.-Y. Liu, and C. D. Wang, "</w:t>
      </w:r>
      <w:proofErr w:type="spellStart"/>
      <w:r>
        <w:rPr>
          <w:sz w:val="18"/>
          <w:szCs w:val="18"/>
        </w:rPr>
        <w:t>FinGPT</w:t>
      </w:r>
      <w:proofErr w:type="spellEnd"/>
      <w:r>
        <w:rPr>
          <w:sz w:val="18"/>
          <w:szCs w:val="18"/>
        </w:rPr>
        <w:t>: Open-source financial large language models," arXiv:2306.06031, 2023.</w:t>
      </w:r>
    </w:p>
    <w:p w14:paraId="653A5780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[28] S. Wu et al., "</w:t>
      </w:r>
      <w:proofErr w:type="spellStart"/>
      <w:r>
        <w:rPr>
          <w:sz w:val="18"/>
          <w:szCs w:val="18"/>
        </w:rPr>
        <w:t>BloombergGPT</w:t>
      </w:r>
      <w:proofErr w:type="spellEnd"/>
      <w:r>
        <w:rPr>
          <w:sz w:val="18"/>
          <w:szCs w:val="18"/>
        </w:rPr>
        <w:t>: A large language model for finance," arXiv:2303.17564, 2023.</w:t>
      </w:r>
    </w:p>
    <w:p w14:paraId="0A3BBA32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[29] Gemma Team, Google DeepMind, "Gemma 3: Open models based on Gemini research and technology," Google Technical Report, 2025.</w:t>
      </w:r>
    </w:p>
    <w:p w14:paraId="3062CAD6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[30] Y. Bang et al., "A multitask, multilingual, multimodal evaluation of ChatGPT on reasoning, hallucination, and interactivity," arXiv:2302.04023, 2023.</w:t>
      </w:r>
    </w:p>
    <w:p w14:paraId="590C2FD5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[31] L. Zheng et al., "Judging LLM-as-a-judge with MT-Bench and Chatbot Arena," in Proc. </w:t>
      </w:r>
      <w:proofErr w:type="spellStart"/>
      <w:r>
        <w:rPr>
          <w:sz w:val="18"/>
          <w:szCs w:val="18"/>
        </w:rPr>
        <w:t>NeurIPS</w:t>
      </w:r>
      <w:proofErr w:type="spellEnd"/>
      <w:r>
        <w:rPr>
          <w:sz w:val="18"/>
          <w:szCs w:val="18"/>
        </w:rPr>
        <w:t>, 2023.</w:t>
      </w:r>
    </w:p>
    <w:p w14:paraId="4393F225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[32] Z. Chen et al., "</w:t>
      </w:r>
      <w:proofErr w:type="spellStart"/>
      <w:r>
        <w:rPr>
          <w:sz w:val="18"/>
          <w:szCs w:val="18"/>
        </w:rPr>
        <w:t>FinQA</w:t>
      </w:r>
      <w:proofErr w:type="spellEnd"/>
      <w:r>
        <w:rPr>
          <w:sz w:val="18"/>
          <w:szCs w:val="18"/>
        </w:rPr>
        <w:t>: A dataset of numerical reasoning over financial data," in Proc. EMNLP, 2021.</w:t>
      </w:r>
    </w:p>
    <w:p w14:paraId="1DBD4145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[33] P. H. Kupiec, "Techniques for verifying the accuracy of risk management models," J. Derivatives, vol. 3, no. 2, pp. 73–84, 1995.</w:t>
      </w:r>
    </w:p>
    <w:p w14:paraId="007DC704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[34] U.S. Securities and Exchange Commission, "EDGAR full-text search API," 2024. [Online]. Available: https://efts.sec.gov</w:t>
      </w:r>
    </w:p>
    <w:p w14:paraId="74489AD9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[35] U.S. CFTC, "Commitments of Traders historical data," 2024. [Online]. Available: https://www.cftc.gov/MarketReports/CommitmentsofTraders</w:t>
      </w:r>
    </w:p>
    <w:p w14:paraId="20697218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>[36] Bank for International Settlements, "Effective exchange rate indices," 2024. [Online]. Available: https://www.bis.org/statistics/eer.htm</w:t>
      </w:r>
    </w:p>
    <w:p w14:paraId="084AB9F2" w14:textId="77777777" w:rsidR="00675273" w:rsidRDefault="00000000">
      <w:pPr>
        <w:spacing w:after="40" w:line="220" w:lineRule="auto"/>
        <w:ind w:left="260" w:hanging="260"/>
        <w:jc w:val="both"/>
      </w:pPr>
      <w:r>
        <w:rPr>
          <w:sz w:val="18"/>
          <w:szCs w:val="18"/>
        </w:rPr>
        <w:t xml:space="preserve">[37] K. </w:t>
      </w:r>
      <w:proofErr w:type="spellStart"/>
      <w:r>
        <w:rPr>
          <w:sz w:val="18"/>
          <w:szCs w:val="18"/>
        </w:rPr>
        <w:t>Leetaru</w:t>
      </w:r>
      <w:proofErr w:type="spellEnd"/>
      <w:r>
        <w:rPr>
          <w:sz w:val="18"/>
          <w:szCs w:val="18"/>
        </w:rPr>
        <w:t xml:space="preserve"> and P. A. Schrodt, "GDELT: Global data on events, location, and tone, 1979–2012," ISA Annual Convention, 2013.</w:t>
      </w:r>
    </w:p>
    <w:sectPr w:rsidR="00675273">
      <w:type w:val="continuous"/>
      <w:pgSz w:w="12240" w:h="15840"/>
      <w:pgMar w:top="1080" w:right="900" w:bottom="1440" w:left="900" w:header="708" w:footer="708" w:gutter="0"/>
      <w:cols w:num="2" w:space="4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E4AF8"/>
    <w:multiLevelType w:val="hybridMultilevel"/>
    <w:tmpl w:val="A7247D6A"/>
    <w:lvl w:ilvl="0" w:tplc="CE5C5038">
      <w:start w:val="1"/>
      <w:numFmt w:val="bullet"/>
      <w:lvlText w:val="●"/>
      <w:lvlJc w:val="left"/>
      <w:pPr>
        <w:ind w:left="720" w:hanging="360"/>
      </w:pPr>
    </w:lvl>
    <w:lvl w:ilvl="1" w:tplc="E7CAEAEC">
      <w:start w:val="1"/>
      <w:numFmt w:val="bullet"/>
      <w:lvlText w:val="○"/>
      <w:lvlJc w:val="left"/>
      <w:pPr>
        <w:ind w:left="1440" w:hanging="360"/>
      </w:pPr>
    </w:lvl>
    <w:lvl w:ilvl="2" w:tplc="E2080F20">
      <w:start w:val="1"/>
      <w:numFmt w:val="bullet"/>
      <w:lvlText w:val="■"/>
      <w:lvlJc w:val="left"/>
      <w:pPr>
        <w:ind w:left="2160" w:hanging="360"/>
      </w:pPr>
    </w:lvl>
    <w:lvl w:ilvl="3" w:tplc="8DF21844">
      <w:start w:val="1"/>
      <w:numFmt w:val="bullet"/>
      <w:lvlText w:val="●"/>
      <w:lvlJc w:val="left"/>
      <w:pPr>
        <w:ind w:left="2880" w:hanging="360"/>
      </w:pPr>
    </w:lvl>
    <w:lvl w:ilvl="4" w:tplc="3788A828">
      <w:start w:val="1"/>
      <w:numFmt w:val="bullet"/>
      <w:lvlText w:val="○"/>
      <w:lvlJc w:val="left"/>
      <w:pPr>
        <w:ind w:left="3600" w:hanging="360"/>
      </w:pPr>
    </w:lvl>
    <w:lvl w:ilvl="5" w:tplc="B76C2C7C">
      <w:start w:val="1"/>
      <w:numFmt w:val="bullet"/>
      <w:lvlText w:val="■"/>
      <w:lvlJc w:val="left"/>
      <w:pPr>
        <w:ind w:left="4320" w:hanging="360"/>
      </w:pPr>
    </w:lvl>
    <w:lvl w:ilvl="6" w:tplc="E83E25FC">
      <w:start w:val="1"/>
      <w:numFmt w:val="bullet"/>
      <w:lvlText w:val="●"/>
      <w:lvlJc w:val="left"/>
      <w:pPr>
        <w:ind w:left="5040" w:hanging="360"/>
      </w:pPr>
    </w:lvl>
    <w:lvl w:ilvl="7" w:tplc="B3425794">
      <w:start w:val="1"/>
      <w:numFmt w:val="bullet"/>
      <w:lvlText w:val="●"/>
      <w:lvlJc w:val="left"/>
      <w:pPr>
        <w:ind w:left="5760" w:hanging="360"/>
      </w:pPr>
    </w:lvl>
    <w:lvl w:ilvl="8" w:tplc="242E4A0E">
      <w:start w:val="1"/>
      <w:numFmt w:val="bullet"/>
      <w:lvlText w:val="●"/>
      <w:lvlJc w:val="left"/>
      <w:pPr>
        <w:ind w:left="6480" w:hanging="360"/>
      </w:pPr>
    </w:lvl>
  </w:abstractNum>
  <w:num w:numId="1" w16cid:durableId="1888641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273"/>
    <w:rsid w:val="00046B44"/>
    <w:rsid w:val="00675273"/>
    <w:rsid w:val="006B2BE9"/>
    <w:rsid w:val="00976530"/>
    <w:rsid w:val="00D945DF"/>
    <w:rsid w:val="00E1046E"/>
    <w:rsid w:val="00EA726D"/>
    <w:rsid w:val="00F0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3B29A"/>
  <w15:docId w15:val="{E0DA27C2-3849-1448-9F8D-C46FA4F7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3823</Words>
  <Characters>21792</Characters>
  <Application>Microsoft Office Word</Application>
  <DocSecurity>0</DocSecurity>
  <Lines>181</Lines>
  <Paragraphs>51</Paragraphs>
  <ScaleCrop>false</ScaleCrop>
  <Company/>
  <LinksUpToDate>false</LinksUpToDate>
  <CharactersWithSpaces>25564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Hedgyyyboo IEEE Paper</dc:title>
  <dc:creator>Prathmesh Deshmukh</dc:creator>
  <dc:description>IEEE conference paper for the Hedgyyyboo platform</dc:description>
  <cp:lastModifiedBy>Prathmesh Deshmukh</cp:lastModifiedBy>
  <cp:revision>6</cp:revision>
  <dcterms:created xsi:type="dcterms:W3CDTF">2026-04-15T04:52:00Z</dcterms:created>
  <dcterms:modified xsi:type="dcterms:W3CDTF">2026-04-15T05:27:00Z</dcterms:modified>
</cp:coreProperties>
</file>