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Audit Scope and Goals</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434343"/>
          <w:sz w:val="24"/>
          <w:szCs w:val="24"/>
        </w:rPr>
      </w:pPr>
      <w:bookmarkStart w:colFirst="0" w:colLast="0" w:name="_ukk5mpi2if5r" w:id="0"/>
      <w:bookmarkEnd w:id="0"/>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The internal IT audit will assess the following:</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Assess user permissions</w:t>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Identify existing controls, procedures, and system protocols</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for technology currently in use</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the internal IT audit are:</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Adhere to the NIST Cybersecurity Framework (CSF)</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policies and procedures to ensure compliance with regulations</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Assessment</w:t>
      </w:r>
    </w:p>
    <w:p w:rsidR="00000000" w:rsidDel="00000000" w:rsidP="00000000" w:rsidRDefault="00000000" w:rsidRPr="00000000" w14:paraId="0000002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2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2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protected storage of customer, vendor, organizational data</w:t>
      </w:r>
    </w:p>
    <w:p w:rsidR="00000000" w:rsidDel="00000000" w:rsidP="00000000" w:rsidRDefault="00000000" w:rsidRPr="00000000" w14:paraId="00000026">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proper controls are not in place and the organization may not be compliant with U.S. and international compliance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2A">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1-10, the risk score is 8, which is fairly high. This is due to a lack of controls and adherence to necessary compliance regulations and standards.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likelihood of a lost asset or fines from governing bodies is high because the organization does not have all of the necessary controls in place and is not adhering to required regulations and standards related to keeping PII data private.</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Controls Assessment</w:t>
      </w:r>
    </w:p>
    <w:p w:rsidR="00000000" w:rsidDel="00000000" w:rsidP="00000000" w:rsidRDefault="00000000" w:rsidRPr="00000000" w14:paraId="0000003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1740"/>
        <w:gridCol w:w="1605"/>
        <w:tblGridChange w:id="0">
          <w:tblGrid>
            <w:gridCol w:w="2490"/>
            <w:gridCol w:w="3465"/>
            <w:gridCol w:w="1740"/>
            <w:gridCol w:w="160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10"/>
        <w:gridCol w:w="1800"/>
        <w:gridCol w:w="1650"/>
        <w:tblGridChange w:id="0">
          <w:tblGrid>
            <w:gridCol w:w="2460"/>
            <w:gridCol w:w="3510"/>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(i.e.,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(i.e.,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25"/>
        <w:gridCol w:w="1800"/>
        <w:gridCol w:w="1605"/>
        <w:tblGridChange w:id="0">
          <w:tblGrid>
            <w:gridCol w:w="2460"/>
            <w:gridCol w:w="3525"/>
            <w:gridCol w:w="1800"/>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9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91">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we conduct business and collect personal information from people in the EU.</w:t>
      </w:r>
    </w:p>
    <w:p w:rsidR="00000000" w:rsidDel="00000000" w:rsidP="00000000" w:rsidRDefault="00000000" w:rsidRPr="00000000" w14:paraId="00000094">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6">
      <w:pPr>
        <w:spacing w:after="200" w:line="360" w:lineRule="auto"/>
        <w:ind w:left="720" w:firstLine="0"/>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we store, accept, process, and transmit credit card information in person and online.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