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0070D2"/>
          <w:sz w:val="20"/>
        </w:rPr>
        <w:t>ENTERPRISE SAP MODERNIZATION BLUEPRINT | WEEK 1 DELIVERABLE</w:t>
        <w:br/>
      </w:r>
      <w:r>
        <w:rPr>
          <w:rFonts w:ascii="Calibri Light" w:hAnsi="Calibri Light"/>
          <w:b/>
          <w:color w:val="14233C"/>
          <w:sz w:val="52"/>
        </w:rPr>
        <w:t>Virtual SAP ABAP Coding Assistant</w:t>
      </w:r>
    </w:p>
    <w:p>
      <w:pPr>
        <w:spacing w:before="0" w:after="360"/>
      </w:pPr>
      <w:r>
        <w:rPr>
          <w:rFonts w:ascii="Calibri" w:hAnsi="Calibri"/>
          <w:i/>
          <w:color w:val="646464"/>
          <w:sz w:val="24"/>
        </w:rPr>
        <w:t>Comprehensive Technical Strategy, System Architecture, Timeline, Risk Mitigation &amp; Resource Allocation Blueprint for Prototype Execution</w:t>
      </w:r>
    </w:p>
    <w:tbl>
      <w:tblPr>
        <w:tblW w:type="auto" w:w="0"/>
        <w:jc w:val="center"/>
        <w:tblLook w:firstColumn="1" w:firstRow="1" w:lastColumn="0" w:lastRow="0" w:noHBand="0" w:noVBand="1" w:val="04A0"/>
      </w:tblPr>
      <w:tblGrid>
        <w:gridCol w:w="4680"/>
        <w:gridCol w:w="4680"/>
      </w:tblGrid>
      <w:tr>
        <w:tc>
          <w:tcPr>
            <w:tcW w:type="dxa" w:w="2880"/>
            <w:shd w:fill="F7F9FC"/>
            <w:tcMar>
              <w:top w:w="60" w:type="dxa"/>
              <w:bottom w:w="60" w:type="dxa"/>
              <w:left w:w="100" w:type="dxa"/>
              <w:right w:w="100" w:type="dxa"/>
            </w:tcMar>
          </w:tcPr>
          <w:p>
            <w:pPr>
              <w:spacing w:after="40"/>
            </w:pPr>
            <w:r>
              <w:rPr>
                <w:b/>
                <w:color w:val="0070D2"/>
                <w:sz w:val="19"/>
              </w:rPr>
              <w:t>Project Identifier:</w:t>
            </w:r>
          </w:p>
        </w:tc>
        <w:tc>
          <w:tcPr>
            <w:tcW w:type="dxa" w:w="6480"/>
            <w:shd w:fill="F7F9FC"/>
            <w:tcMar>
              <w:top w:w="60" w:type="dxa"/>
              <w:bottom w:w="60" w:type="dxa"/>
              <w:left w:w="100" w:type="dxa"/>
              <w:right w:w="100" w:type="dxa"/>
            </w:tcMar>
          </w:tcPr>
          <w:p>
            <w:pPr>
              <w:spacing w:after="40"/>
            </w:pPr>
            <w:r>
              <w:rPr>
                <w:color w:val="3C3C3C"/>
                <w:sz w:val="19"/>
              </w:rPr>
              <w:t>SAP-AI-ABAP-2026-V1</w:t>
            </w:r>
          </w:p>
        </w:tc>
      </w:tr>
      <w:tr>
        <w:tc>
          <w:tcPr>
            <w:tcW w:type="dxa" w:w="2880"/>
            <w:shd w:fill="FFFFFF"/>
            <w:tcMar>
              <w:top w:w="60" w:type="dxa"/>
              <w:bottom w:w="60" w:type="dxa"/>
              <w:left w:w="100" w:type="dxa"/>
              <w:right w:w="100" w:type="dxa"/>
            </w:tcMar>
          </w:tcPr>
          <w:p>
            <w:pPr>
              <w:spacing w:after="40"/>
            </w:pPr>
            <w:r>
              <w:rPr>
                <w:b/>
                <w:color w:val="0070D2"/>
                <w:sz w:val="19"/>
              </w:rPr>
              <w:t>Target Platform:</w:t>
            </w:r>
          </w:p>
        </w:tc>
        <w:tc>
          <w:tcPr>
            <w:tcW w:type="dxa" w:w="6480"/>
            <w:shd w:fill="FFFFFF"/>
            <w:tcMar>
              <w:top w:w="60" w:type="dxa"/>
              <w:bottom w:w="60" w:type="dxa"/>
              <w:left w:w="100" w:type="dxa"/>
              <w:right w:w="100" w:type="dxa"/>
            </w:tcMar>
          </w:tcPr>
          <w:p>
            <w:pPr>
              <w:spacing w:after="40"/>
            </w:pPr>
            <w:r>
              <w:rPr>
                <w:color w:val="3C3C3C"/>
                <w:sz w:val="19"/>
              </w:rPr>
              <w:t>SAP S/4HANA (On-Premise / Cloud) &amp; SAP BTP AI Core</w:t>
            </w:r>
          </w:p>
        </w:tc>
      </w:tr>
      <w:tr>
        <w:tc>
          <w:tcPr>
            <w:tcW w:type="dxa" w:w="2880"/>
            <w:shd w:fill="F7F9FC"/>
            <w:tcMar>
              <w:top w:w="60" w:type="dxa"/>
              <w:bottom w:w="60" w:type="dxa"/>
              <w:left w:w="100" w:type="dxa"/>
              <w:right w:w="100" w:type="dxa"/>
            </w:tcMar>
          </w:tcPr>
          <w:p>
            <w:pPr>
              <w:spacing w:after="40"/>
            </w:pPr>
            <w:r>
              <w:rPr>
                <w:b/>
                <w:color w:val="0070D2"/>
                <w:sz w:val="19"/>
              </w:rPr>
              <w:t>Document Scope:</w:t>
            </w:r>
          </w:p>
        </w:tc>
        <w:tc>
          <w:tcPr>
            <w:tcW w:type="dxa" w:w="6480"/>
            <w:shd w:fill="F7F9FC"/>
            <w:tcMar>
              <w:top w:w="60" w:type="dxa"/>
              <w:bottom w:w="60" w:type="dxa"/>
              <w:left w:w="100" w:type="dxa"/>
              <w:right w:w="100" w:type="dxa"/>
            </w:tcMar>
          </w:tcPr>
          <w:p>
            <w:pPr>
              <w:spacing w:after="40"/>
            </w:pPr>
            <w:r>
              <w:rPr>
                <w:color w:val="3C3C3C"/>
                <w:sz w:val="19"/>
              </w:rPr>
              <w:t>Architecture, Objectives, WBS Timeline, Risk &amp; Resource Blueprint</w:t>
            </w:r>
          </w:p>
        </w:tc>
      </w:tr>
      <w:tr>
        <w:tc>
          <w:tcPr>
            <w:tcW w:type="dxa" w:w="2880"/>
            <w:shd w:fill="FFFFFF"/>
            <w:tcMar>
              <w:top w:w="60" w:type="dxa"/>
              <w:bottom w:w="60" w:type="dxa"/>
              <w:left w:w="100" w:type="dxa"/>
              <w:right w:w="100" w:type="dxa"/>
            </w:tcMar>
          </w:tcPr>
          <w:p>
            <w:pPr>
              <w:spacing w:after="40"/>
            </w:pPr>
            <w:r>
              <w:rPr>
                <w:b/>
                <w:color w:val="0070D2"/>
                <w:sz w:val="19"/>
              </w:rPr>
              <w:t>Version &amp; Status:</w:t>
            </w:r>
          </w:p>
        </w:tc>
        <w:tc>
          <w:tcPr>
            <w:tcW w:type="dxa" w:w="6480"/>
            <w:shd w:fill="FFFFFF"/>
            <w:tcMar>
              <w:top w:w="60" w:type="dxa"/>
              <w:bottom w:w="60" w:type="dxa"/>
              <w:left w:w="100" w:type="dxa"/>
              <w:right w:w="100" w:type="dxa"/>
            </w:tcMar>
          </w:tcPr>
          <w:p>
            <w:pPr>
              <w:spacing w:after="40"/>
            </w:pPr>
            <w:r>
              <w:rPr>
                <w:color w:val="3C3C3C"/>
                <w:sz w:val="19"/>
              </w:rPr>
              <w:t>v1.0 (Final Prototype Blueprint - Approved for Execution)</w:t>
            </w:r>
          </w:p>
        </w:tc>
      </w:tr>
    </w:tbl>
    <w:p>
      <w:pPr>
        <w:spacing w:after="240"/>
      </w:pPr>
    </w:p>
    <w:p>
      <w:pPr>
        <w:keepNext/>
        <w:spacing w:before="360" w:after="120"/>
      </w:pPr>
      <w:r>
        <w:rPr>
          <w:rFonts w:ascii="Calibri" w:hAnsi="Calibri"/>
          <w:b/>
          <w:color w:val="0050A0"/>
          <w:sz w:val="32"/>
        </w:rPr>
        <w:t>1. Executive Summary &amp; Strategic Vision</w:t>
      </w:r>
    </w:p>
    <w:p>
      <w:pPr>
        <w:spacing w:before="0" w:after="120" w:line="276" w:lineRule="auto"/>
      </w:pPr>
      <w:r>
        <w:rPr>
          <w:rFonts w:ascii="Calibri" w:hAnsi="Calibri"/>
          <w:color w:val="323232"/>
          <w:sz w:val="22"/>
        </w:rPr>
        <w:t>Enterprise software development within the SAP ecosystem is undergoing a generational shift. As global enterprises accelerate their migration from legacy SAP ECC 6.0 environments to SAP S/4HANA and SAP Business Technology Platform (BTP), the demand for highly specialized ABAP (Advanced Business Application Programming) developers has vastly outstripped market supply. Furthermore, decades of legacy ABAP custom code—often characterized by procedural constructs, direct table selects, obsolete syntax, and missing unit tests—presents a major hurdle to clean core maintenance and cloud readiness.</w:t>
      </w:r>
    </w:p>
    <w:p>
      <w:pPr>
        <w:spacing w:before="0" w:after="120" w:line="276" w:lineRule="auto"/>
      </w:pPr>
      <w:r>
        <w:rPr>
          <w:rFonts w:ascii="Calibri" w:hAnsi="Calibri"/>
          <w:color w:val="323232"/>
          <w:sz w:val="22"/>
        </w:rPr>
        <w:t>The Virtual SAP ABAP Coding Assistant Project aims to construct an intelligent, context-aware, enterprise-grade virtual assistant designed specifically for ABAP engineers and SAP solution architects. Leveraging state-of-the-art Large Language Models (LLMs) integrated with Retrieval-Augmented Generation (RAG) over SAP ABAP Keyword Documentation, Clean ABAP standards, and enterprise repository metadata, the assistant acts as a pair-programmer within developer IDEs (Eclipse ADT and VS Code).</w:t>
      </w:r>
    </w:p>
    <w:tbl>
      <w:tblPr>
        <w:tblW w:type="auto" w:w="0"/>
        <w:jc w:val="center"/>
        <w:tblLayout w:type="fixed"/>
        <w:tblLook w:firstColumn="1" w:firstRow="1" w:lastColumn="0" w:lastRow="0" w:noHBand="0" w:noVBand="1" w:val="04A0"/>
      </w:tblPr>
      <w:tblGrid>
        <w:gridCol w:w="9360"/>
      </w:tblGrid>
      <w:tr>
        <w:tc>
          <w:tcPr>
            <w:tcW w:type="dxa" w:w="9360"/>
            <w:shd w:fill="F0F4F8"/>
            <w:tcBorders>
              <w:top w:val="none"/>
              <w:left w:val="single" w:sz="36" w:space="0" w:color="0070D2"/>
              <w:bottom w:val="none"/>
              <w:right w:val="none"/>
            </w:tcBorders>
            <w:tcMar>
              <w:top w:w="140" w:type="dxa"/>
              <w:bottom w:w="140" w:type="dxa"/>
              <w:left w:w="200" w:type="dxa"/>
              <w:right w:w="150" w:type="dxa"/>
            </w:tcMar>
          </w:tcPr>
          <w:p>
            <w:pPr>
              <w:spacing w:before="40" w:after="80"/>
            </w:pPr>
            <w:r>
              <w:rPr>
                <w:rFonts w:ascii="Calibri" w:hAnsi="Calibri"/>
                <w:b/>
                <w:color w:val="0070D2"/>
                <w:sz w:val="22"/>
              </w:rPr>
              <w:t>📌 EXECUTIVE MANDATE</w:t>
              <w:br/>
            </w:r>
            <w:r>
              <w:rPr>
                <w:rFonts w:ascii="Calibri" w:hAnsi="Calibri"/>
                <w:color w:val="282828"/>
                <w:sz w:val="21"/>
              </w:rPr>
              <w:t>The strategic objective of the Virtual SAP ABAP Assistant is to increase developer throughput by 35-45%, eliminate critical syntax and security defects prior to SAP Transport submission, enforce Clean ABAP standards automatically, and drastically reduce the technical debt associated with legacy SAP S/4HANA migrations.</w:t>
            </w:r>
          </w:p>
        </w:tc>
      </w:tr>
    </w:tbl>
    <w:p>
      <w:pPr>
        <w:spacing w:before="0" w:after="120"/>
      </w:pPr>
    </w:p>
    <w:p>
      <w:pPr>
        <w:keepNext/>
        <w:spacing w:before="360" w:after="120"/>
      </w:pPr>
      <w:r>
        <w:rPr>
          <w:rFonts w:ascii="Calibri" w:hAnsi="Calibri"/>
          <w:b/>
          <w:color w:val="0050A0"/>
          <w:sz w:val="32"/>
        </w:rPr>
        <w:t>2. Project Scope &amp; S.M.A.R.T. Objectives</w:t>
      </w:r>
    </w:p>
    <w:p>
      <w:pPr>
        <w:spacing w:before="0" w:after="120" w:line="276" w:lineRule="auto"/>
      </w:pPr>
      <w:r>
        <w:rPr>
          <w:rFonts w:ascii="Calibri" w:hAnsi="Calibri"/>
          <w:color w:val="323232"/>
          <w:sz w:val="22"/>
        </w:rPr>
        <w:t>To ensure high execution fidelity and disciplined prototype delivery, the project scope is rigorously bound into in-scope functional modules and out-of-scope boundaries, underpinned by quantitative S.M.A.R.T. objectives.</w:t>
      </w:r>
    </w:p>
    <w:p>
      <w:pPr>
        <w:keepNext/>
        <w:spacing w:before="240" w:after="80"/>
      </w:pPr>
      <w:r>
        <w:rPr>
          <w:rFonts w:ascii="Calibri" w:hAnsi="Calibri"/>
          <w:b/>
          <w:color w:val="285A8C"/>
          <w:sz w:val="26"/>
        </w:rPr>
        <w:t>2.1 Detailed Scope Definition</w:t>
      </w:r>
    </w:p>
    <w:p>
      <w:pPr>
        <w:pStyle w:val="ListBullet"/>
        <w:spacing w:before="0" w:after="60" w:line="276" w:lineRule="auto"/>
      </w:pPr>
      <w:r>
        <w:rPr>
          <w:rFonts w:ascii="Calibri" w:hAnsi="Calibri"/>
          <w:b/>
          <w:color w:val="1E1E1E"/>
          <w:sz w:val="22"/>
        </w:rPr>
        <w:t xml:space="preserve">In-Scope Features: </w:t>
      </w:r>
      <w:r>
        <w:rPr>
          <w:rFonts w:ascii="Calibri" w:hAnsi="Calibri"/>
          <w:color w:val="3C3C3C"/>
          <w:sz w:val="22"/>
        </w:rPr>
        <w:t>Real-time context-aware ABAP code completion and inline code generation for modern syntax (ABAP 7.4+ and 7.5+ constructs).</w:t>
      </w:r>
    </w:p>
    <w:p>
      <w:pPr>
        <w:pStyle w:val="ListBullet"/>
        <w:spacing w:before="0" w:after="60" w:line="276" w:lineRule="auto"/>
      </w:pPr>
      <w:r>
        <w:rPr>
          <w:rFonts w:ascii="Calibri" w:hAnsi="Calibri"/>
          <w:b/>
          <w:color w:val="1E1E1E"/>
          <w:sz w:val="22"/>
        </w:rPr>
        <w:t xml:space="preserve">In-Scope Features: </w:t>
      </w:r>
      <w:r>
        <w:rPr>
          <w:rFonts w:ascii="Calibri" w:hAnsi="Calibri"/>
          <w:color w:val="3C3C3C"/>
          <w:sz w:val="22"/>
        </w:rPr>
        <w:t>Automated ABAP RESTful Application Programming Model (RAP) and Core Data Services (CDS) view generator.</w:t>
      </w:r>
    </w:p>
    <w:p>
      <w:pPr>
        <w:pStyle w:val="ListBullet"/>
        <w:spacing w:before="0" w:after="60" w:line="276" w:lineRule="auto"/>
      </w:pPr>
      <w:r>
        <w:rPr>
          <w:rFonts w:ascii="Calibri" w:hAnsi="Calibri"/>
          <w:b/>
          <w:color w:val="1E1E1E"/>
          <w:sz w:val="22"/>
        </w:rPr>
        <w:t xml:space="preserve">In-Scope Features: </w:t>
      </w:r>
      <w:r>
        <w:rPr>
          <w:rFonts w:ascii="Calibri" w:hAnsi="Calibri"/>
          <w:color w:val="3C3C3C"/>
          <w:sz w:val="22"/>
        </w:rPr>
        <w:t>Automated ABAP Test Cockpit (ATC) static analysis evaluation and one-click code refactoring suggestions.</w:t>
      </w:r>
    </w:p>
    <w:p>
      <w:pPr>
        <w:pStyle w:val="ListBullet"/>
        <w:spacing w:before="0" w:after="60" w:line="276" w:lineRule="auto"/>
      </w:pPr>
      <w:r>
        <w:rPr>
          <w:rFonts w:ascii="Calibri" w:hAnsi="Calibri"/>
          <w:b/>
          <w:color w:val="1E1E1E"/>
          <w:sz w:val="22"/>
        </w:rPr>
        <w:t xml:space="preserve">In-Scope Features: </w:t>
      </w:r>
      <w:r>
        <w:rPr>
          <w:rFonts w:ascii="Calibri" w:hAnsi="Calibri"/>
          <w:color w:val="3C3C3C"/>
          <w:sz w:val="22"/>
        </w:rPr>
        <w:t>ABAP Unit test suite auto-generation adhering to isolated mock framework paradigms (CL_ABAP_UNIT_ASSERT).</w:t>
      </w:r>
    </w:p>
    <w:p>
      <w:pPr>
        <w:pStyle w:val="ListBullet"/>
        <w:spacing w:before="0" w:after="60" w:line="276" w:lineRule="auto"/>
      </w:pPr>
      <w:r>
        <w:rPr>
          <w:rFonts w:ascii="Calibri" w:hAnsi="Calibri"/>
          <w:b/>
          <w:color w:val="1E1E1E"/>
          <w:sz w:val="22"/>
        </w:rPr>
        <w:t xml:space="preserve">In-Scope Features: </w:t>
      </w:r>
      <w:r>
        <w:rPr>
          <w:rFonts w:ascii="Calibri" w:hAnsi="Calibri"/>
          <w:color w:val="3C3C3C"/>
          <w:sz w:val="22"/>
        </w:rPr>
        <w:t>ABAP Doc / docstring generation for classes, methods, function modules, and BAPI interfaces.</w:t>
      </w:r>
    </w:p>
    <w:p>
      <w:pPr>
        <w:pStyle w:val="ListBullet"/>
        <w:spacing w:before="0" w:after="60" w:line="276" w:lineRule="auto"/>
      </w:pPr>
      <w:r>
        <w:rPr>
          <w:rFonts w:ascii="Calibri" w:hAnsi="Calibri"/>
          <w:b/>
          <w:color w:val="1E1E1E"/>
          <w:sz w:val="22"/>
        </w:rPr>
        <w:t xml:space="preserve">In-Scope Features: </w:t>
      </w:r>
      <w:r>
        <w:rPr>
          <w:rFonts w:ascii="Calibri" w:hAnsi="Calibri"/>
          <w:color w:val="3C3C3C"/>
          <w:sz w:val="22"/>
        </w:rPr>
        <w:t>RAG-driven SAP Keyword Documentation &amp; Clean ABAP style guide lookup engine.</w:t>
      </w:r>
    </w:p>
    <w:p>
      <w:pPr>
        <w:pStyle w:val="ListBullet"/>
        <w:spacing w:before="0" w:after="60" w:line="276" w:lineRule="auto"/>
      </w:pPr>
      <w:r>
        <w:rPr>
          <w:rFonts w:ascii="Calibri" w:hAnsi="Calibri"/>
          <w:b/>
          <w:color w:val="1E1E1E"/>
          <w:sz w:val="22"/>
        </w:rPr>
        <w:t xml:space="preserve">Out-of-Scope (Phase 1 Prototype): </w:t>
      </w:r>
      <w:r>
        <w:rPr>
          <w:rFonts w:ascii="Calibri" w:hAnsi="Calibri"/>
          <w:color w:val="3C3C3C"/>
          <w:sz w:val="22"/>
        </w:rPr>
        <w:t>Direct automated release of SAP Transports (SE09/SE10) without human developer authorization.</w:t>
      </w:r>
    </w:p>
    <w:p>
      <w:pPr>
        <w:pStyle w:val="ListBullet"/>
        <w:spacing w:before="0" w:after="60" w:line="276" w:lineRule="auto"/>
      </w:pPr>
      <w:r>
        <w:rPr>
          <w:rFonts w:ascii="Calibri" w:hAnsi="Calibri"/>
          <w:b/>
          <w:color w:val="1E1E1E"/>
          <w:sz w:val="22"/>
        </w:rPr>
        <w:t xml:space="preserve">Out-of-Scope (Phase 1 Prototype): </w:t>
      </w:r>
      <w:r>
        <w:rPr>
          <w:rFonts w:ascii="Calibri" w:hAnsi="Calibri"/>
          <w:color w:val="3C3C3C"/>
          <w:sz w:val="22"/>
        </w:rPr>
        <w:t>Modifications to standard SAP SAPL* core kernel modules or locked SAP standard namespace (/0S/) objects.</w:t>
      </w:r>
    </w:p>
    <w:p>
      <w:pPr>
        <w:pStyle w:val="ListBullet"/>
        <w:spacing w:before="0" w:after="60" w:line="276" w:lineRule="auto"/>
      </w:pPr>
      <w:r>
        <w:rPr>
          <w:rFonts w:ascii="Calibri" w:hAnsi="Calibri"/>
          <w:b/>
          <w:color w:val="1E1E1E"/>
          <w:sz w:val="22"/>
        </w:rPr>
        <w:t xml:space="preserve">Out-of-Scope (Phase 1 Prototype): </w:t>
      </w:r>
      <w:r>
        <w:rPr>
          <w:rFonts w:ascii="Calibri" w:hAnsi="Calibri"/>
          <w:color w:val="3C3C3C"/>
          <w:sz w:val="22"/>
        </w:rPr>
        <w:t>Non-ABAP SAP UI technologies (such as SAPUI5/Fiori XML view auto-coding) in the initial milestone phase.</w:t>
      </w:r>
    </w:p>
    <w:p>
      <w:pPr>
        <w:keepNext/>
        <w:spacing w:before="240" w:after="80"/>
      </w:pPr>
      <w:r>
        <w:rPr>
          <w:rFonts w:ascii="Calibri" w:hAnsi="Calibri"/>
          <w:b/>
          <w:color w:val="285A8C"/>
          <w:sz w:val="26"/>
        </w:rPr>
        <w:t>2.2 S.M.A.R.T. Project Objectives</w:t>
      </w:r>
    </w:p>
    <w:p>
      <w:pPr>
        <w:spacing w:before="0" w:after="120" w:line="276" w:lineRule="auto"/>
      </w:pPr>
      <w:r>
        <w:rPr>
          <w:rFonts w:ascii="Calibri" w:hAnsi="Calibri"/>
          <w:color w:val="323232"/>
          <w:sz w:val="22"/>
        </w:rPr>
        <w:t>The success of the Virtual SAP ABAP Coding Assistant prototype will be evaluated against six specific S.M.A.R.T. criteria:</w:t>
      </w:r>
    </w:p>
    <w:tbl>
      <w:tblPr>
        <w:tblW w:type="auto" w:w="0"/>
        <w:jc w:val="center"/>
        <w:tblLook w:firstColumn="1" w:firstRow="1" w:lastColumn="0" w:lastRow="0" w:noHBand="0" w:noVBand="1" w:val="04A0"/>
      </w:tblPr>
      <w:tblGrid>
        <w:gridCol w:w="3120"/>
        <w:gridCol w:w="3120"/>
        <w:gridCol w:w="3120"/>
      </w:tblGrid>
      <w:tr>
        <w:tc>
          <w:tcPr>
            <w:tcW w:type="dxa" w:w="2592"/>
            <w:shd w:fill="0070D2"/>
            <w:tcMar>
              <w:top w:w="120" w:type="dxa"/>
              <w:bottom w:w="120" w:type="dxa"/>
              <w:left w:w="120" w:type="dxa"/>
              <w:right w:w="120" w:type="dxa"/>
            </w:tcMar>
          </w:tcPr>
          <w:p>
            <w:pPr>
              <w:jc w:val="left"/>
            </w:pPr>
            <w:r>
              <w:rPr>
                <w:rFonts w:ascii="Calibri" w:hAnsi="Calibri"/>
                <w:b/>
                <w:color w:val="FFFFFF"/>
                <w:sz w:val="20"/>
              </w:rPr>
              <w:t>Objective Area</w:t>
            </w:r>
          </w:p>
        </w:tc>
        <w:tc>
          <w:tcPr>
            <w:tcW w:type="dxa" w:w="4608"/>
            <w:shd w:fill="0070D2"/>
            <w:tcMar>
              <w:top w:w="120" w:type="dxa"/>
              <w:bottom w:w="120" w:type="dxa"/>
              <w:left w:w="120" w:type="dxa"/>
              <w:right w:w="120" w:type="dxa"/>
            </w:tcMar>
          </w:tcPr>
          <w:p>
            <w:pPr>
              <w:jc w:val="left"/>
            </w:pPr>
            <w:r>
              <w:rPr>
                <w:rFonts w:ascii="Calibri" w:hAnsi="Calibri"/>
                <w:b/>
                <w:color w:val="FFFFFF"/>
                <w:sz w:val="20"/>
              </w:rPr>
              <w:t>Target Description</w:t>
            </w:r>
          </w:p>
        </w:tc>
        <w:tc>
          <w:tcPr>
            <w:tcW w:type="dxa" w:w="2160"/>
            <w:shd w:fill="0070D2"/>
            <w:tcMar>
              <w:top w:w="120" w:type="dxa"/>
              <w:bottom w:w="120" w:type="dxa"/>
              <w:left w:w="120" w:type="dxa"/>
              <w:right w:w="120" w:type="dxa"/>
            </w:tcMar>
          </w:tcPr>
          <w:p>
            <w:pPr>
              <w:jc w:val="left"/>
            </w:pPr>
            <w:r>
              <w:rPr>
                <w:rFonts w:ascii="Calibri" w:hAnsi="Calibri"/>
                <w:b/>
                <w:color w:val="FFFFFF"/>
                <w:sz w:val="20"/>
              </w:rPr>
              <w:t>Measurement Metric</w:t>
            </w:r>
          </w:p>
        </w:tc>
      </w:tr>
      <w:tr>
        <w:tc>
          <w:tcPr>
            <w:tcW w:type="dxa" w:w="2592"/>
            <w:shd w:fill="F9FAFC"/>
            <w:tcMar>
              <w:top w:w="80" w:type="dxa"/>
              <w:bottom w:w="80" w:type="dxa"/>
              <w:left w:w="100" w:type="dxa"/>
              <w:right w:w="100" w:type="dxa"/>
            </w:tcMar>
          </w:tcPr>
          <w:p>
            <w:pPr>
              <w:spacing w:after="40"/>
            </w:pPr>
            <w:r>
              <w:rPr>
                <w:b/>
                <w:color w:val="00468C"/>
                <w:sz w:val="19"/>
              </w:rPr>
              <w:t>Code Generation Speed</w:t>
            </w:r>
          </w:p>
        </w:tc>
        <w:tc>
          <w:tcPr>
            <w:tcW w:type="dxa" w:w="4608"/>
            <w:shd w:fill="F9FAFC"/>
            <w:tcMar>
              <w:top w:w="80" w:type="dxa"/>
              <w:bottom w:w="80" w:type="dxa"/>
              <w:left w:w="100" w:type="dxa"/>
              <w:right w:w="100" w:type="dxa"/>
            </w:tcMar>
          </w:tcPr>
          <w:p>
            <w:pPr>
              <w:spacing w:after="40"/>
            </w:pPr>
            <w:r>
              <w:rPr>
                <w:color w:val="323232"/>
                <w:sz w:val="19"/>
              </w:rPr>
              <w:t>Reduce average developer time spent writing boilerplate ABAP CDS views and RAP BOs.</w:t>
            </w:r>
          </w:p>
        </w:tc>
        <w:tc>
          <w:tcPr>
            <w:tcW w:type="dxa" w:w="2160"/>
            <w:shd w:fill="F9FAFC"/>
            <w:tcMar>
              <w:top w:w="80" w:type="dxa"/>
              <w:bottom w:w="80" w:type="dxa"/>
              <w:left w:w="100" w:type="dxa"/>
              <w:right w:w="100" w:type="dxa"/>
            </w:tcMar>
          </w:tcPr>
          <w:p>
            <w:pPr>
              <w:spacing w:after="40"/>
            </w:pPr>
            <w:r>
              <w:rPr>
                <w:color w:val="323232"/>
                <w:sz w:val="19"/>
              </w:rPr>
              <w:t>&gt; 40% reduction in time-to-first-commit</w:t>
            </w:r>
          </w:p>
        </w:tc>
      </w:tr>
      <w:tr>
        <w:tc>
          <w:tcPr>
            <w:tcW w:type="dxa" w:w="2592"/>
            <w:shd w:fill="FFFFFF"/>
            <w:tcMar>
              <w:top w:w="80" w:type="dxa"/>
              <w:bottom w:w="80" w:type="dxa"/>
              <w:left w:w="100" w:type="dxa"/>
              <w:right w:w="100" w:type="dxa"/>
            </w:tcMar>
          </w:tcPr>
          <w:p>
            <w:pPr>
              <w:spacing w:after="40"/>
            </w:pPr>
            <w:r>
              <w:rPr>
                <w:b/>
                <w:color w:val="00468C"/>
                <w:sz w:val="19"/>
              </w:rPr>
              <w:t>ATC Quality Compliance</w:t>
            </w:r>
          </w:p>
        </w:tc>
        <w:tc>
          <w:tcPr>
            <w:tcW w:type="dxa" w:w="4608"/>
            <w:shd w:fill="FFFFFF"/>
            <w:tcMar>
              <w:top w:w="80" w:type="dxa"/>
              <w:bottom w:w="80" w:type="dxa"/>
              <w:left w:w="100" w:type="dxa"/>
              <w:right w:w="100" w:type="dxa"/>
            </w:tcMar>
          </w:tcPr>
          <w:p>
            <w:pPr>
              <w:spacing w:after="40"/>
            </w:pPr>
            <w:r>
              <w:rPr>
                <w:color w:val="323232"/>
                <w:sz w:val="19"/>
              </w:rPr>
              <w:t>Ensure generated ABAP code passes ABAP Test Cockpit static code checks with zero priority 1 &amp; 2 errors.</w:t>
            </w:r>
          </w:p>
        </w:tc>
        <w:tc>
          <w:tcPr>
            <w:tcW w:type="dxa" w:w="2160"/>
            <w:shd w:fill="FFFFFF"/>
            <w:tcMar>
              <w:top w:w="80" w:type="dxa"/>
              <w:bottom w:w="80" w:type="dxa"/>
              <w:left w:w="100" w:type="dxa"/>
              <w:right w:w="100" w:type="dxa"/>
            </w:tcMar>
          </w:tcPr>
          <w:p>
            <w:pPr>
              <w:spacing w:after="40"/>
            </w:pPr>
            <w:r>
              <w:rPr>
                <w:color w:val="323232"/>
                <w:sz w:val="19"/>
              </w:rPr>
              <w:t>100% compliance on ATC Priority 1 &amp; 2</w:t>
            </w:r>
          </w:p>
        </w:tc>
      </w:tr>
      <w:tr>
        <w:tc>
          <w:tcPr>
            <w:tcW w:type="dxa" w:w="2592"/>
            <w:shd w:fill="F9FAFC"/>
            <w:tcMar>
              <w:top w:w="80" w:type="dxa"/>
              <w:bottom w:w="80" w:type="dxa"/>
              <w:left w:w="100" w:type="dxa"/>
              <w:right w:w="100" w:type="dxa"/>
            </w:tcMar>
          </w:tcPr>
          <w:p>
            <w:pPr>
              <w:spacing w:after="40"/>
            </w:pPr>
            <w:r>
              <w:rPr>
                <w:b/>
                <w:color w:val="00468C"/>
                <w:sz w:val="19"/>
              </w:rPr>
              <w:t>Clean ABAP Alignment</w:t>
            </w:r>
          </w:p>
        </w:tc>
        <w:tc>
          <w:tcPr>
            <w:tcW w:type="dxa" w:w="4608"/>
            <w:shd w:fill="F9FAFC"/>
            <w:tcMar>
              <w:top w:w="80" w:type="dxa"/>
              <w:bottom w:w="80" w:type="dxa"/>
              <w:left w:w="100" w:type="dxa"/>
              <w:right w:w="100" w:type="dxa"/>
            </w:tcMar>
          </w:tcPr>
          <w:p>
            <w:pPr>
              <w:spacing w:after="40"/>
            </w:pPr>
            <w:r>
              <w:rPr>
                <w:color w:val="323232"/>
                <w:sz w:val="19"/>
              </w:rPr>
              <w:t>Automate compliance with Clean ABAP guidelines (e.g., modern SELECT syntax, inline declarations).</w:t>
            </w:r>
          </w:p>
        </w:tc>
        <w:tc>
          <w:tcPr>
            <w:tcW w:type="dxa" w:w="2160"/>
            <w:shd w:fill="F9FAFC"/>
            <w:tcMar>
              <w:top w:w="80" w:type="dxa"/>
              <w:bottom w:w="80" w:type="dxa"/>
              <w:left w:w="100" w:type="dxa"/>
              <w:right w:w="100" w:type="dxa"/>
            </w:tcMar>
          </w:tcPr>
          <w:p>
            <w:pPr>
              <w:spacing w:after="40"/>
            </w:pPr>
            <w:r>
              <w:rPr>
                <w:color w:val="323232"/>
                <w:sz w:val="19"/>
              </w:rPr>
              <w:t>&gt; 95% adherence rating in peer review</w:t>
            </w:r>
          </w:p>
        </w:tc>
      </w:tr>
      <w:tr>
        <w:tc>
          <w:tcPr>
            <w:tcW w:type="dxa" w:w="2592"/>
            <w:shd w:fill="FFFFFF"/>
            <w:tcMar>
              <w:top w:w="80" w:type="dxa"/>
              <w:bottom w:w="80" w:type="dxa"/>
              <w:left w:w="100" w:type="dxa"/>
              <w:right w:w="100" w:type="dxa"/>
            </w:tcMar>
          </w:tcPr>
          <w:p>
            <w:pPr>
              <w:spacing w:after="40"/>
            </w:pPr>
            <w:r>
              <w:rPr>
                <w:b/>
                <w:color w:val="00468C"/>
                <w:sz w:val="19"/>
              </w:rPr>
              <w:t>ABAP Unit Coverage</w:t>
            </w:r>
          </w:p>
        </w:tc>
        <w:tc>
          <w:tcPr>
            <w:tcW w:type="dxa" w:w="4608"/>
            <w:shd w:fill="FFFFFF"/>
            <w:tcMar>
              <w:top w:w="80" w:type="dxa"/>
              <w:bottom w:w="80" w:type="dxa"/>
              <w:left w:w="100" w:type="dxa"/>
              <w:right w:w="100" w:type="dxa"/>
            </w:tcMar>
          </w:tcPr>
          <w:p>
            <w:pPr>
              <w:spacing w:after="40"/>
            </w:pPr>
            <w:r>
              <w:rPr>
                <w:color w:val="323232"/>
                <w:sz w:val="19"/>
              </w:rPr>
              <w:t>Generate automated unit test scaffolds for custom ABAP methods.</w:t>
            </w:r>
          </w:p>
        </w:tc>
        <w:tc>
          <w:tcPr>
            <w:tcW w:type="dxa" w:w="2160"/>
            <w:shd w:fill="FFFFFF"/>
            <w:tcMar>
              <w:top w:w="80" w:type="dxa"/>
              <w:bottom w:w="80" w:type="dxa"/>
              <w:left w:w="100" w:type="dxa"/>
              <w:right w:w="100" w:type="dxa"/>
            </w:tcMar>
          </w:tcPr>
          <w:p>
            <w:pPr>
              <w:spacing w:after="40"/>
            </w:pPr>
            <w:r>
              <w:rPr>
                <w:color w:val="323232"/>
                <w:sz w:val="19"/>
              </w:rPr>
              <w:t>&gt; 80% statement coverage on custom methods</w:t>
            </w:r>
          </w:p>
        </w:tc>
      </w:tr>
      <w:tr>
        <w:tc>
          <w:tcPr>
            <w:tcW w:type="dxa" w:w="2592"/>
            <w:shd w:fill="F9FAFC"/>
            <w:tcMar>
              <w:top w:w="80" w:type="dxa"/>
              <w:bottom w:w="80" w:type="dxa"/>
              <w:left w:w="100" w:type="dxa"/>
              <w:right w:w="100" w:type="dxa"/>
            </w:tcMar>
          </w:tcPr>
          <w:p>
            <w:pPr>
              <w:spacing w:after="40"/>
            </w:pPr>
            <w:r>
              <w:rPr>
                <w:b/>
                <w:color w:val="00468C"/>
                <w:sz w:val="19"/>
              </w:rPr>
              <w:t>Inference Latency</w:t>
            </w:r>
          </w:p>
        </w:tc>
        <w:tc>
          <w:tcPr>
            <w:tcW w:type="dxa" w:w="4608"/>
            <w:shd w:fill="F9FAFC"/>
            <w:tcMar>
              <w:top w:w="80" w:type="dxa"/>
              <w:bottom w:w="80" w:type="dxa"/>
              <w:left w:w="100" w:type="dxa"/>
              <w:right w:w="100" w:type="dxa"/>
            </w:tcMar>
          </w:tcPr>
          <w:p>
            <w:pPr>
              <w:spacing w:after="40"/>
            </w:pPr>
            <w:r>
              <w:rPr>
                <w:color w:val="323232"/>
                <w:sz w:val="19"/>
              </w:rPr>
              <w:t>Deliver inline code completions rapidly to avoid breaking developer context flow in Eclipse ADT.</w:t>
            </w:r>
          </w:p>
        </w:tc>
        <w:tc>
          <w:tcPr>
            <w:tcW w:type="dxa" w:w="2160"/>
            <w:shd w:fill="F9FAFC"/>
            <w:tcMar>
              <w:top w:w="80" w:type="dxa"/>
              <w:bottom w:w="80" w:type="dxa"/>
              <w:left w:w="100" w:type="dxa"/>
              <w:right w:w="100" w:type="dxa"/>
            </w:tcMar>
          </w:tcPr>
          <w:p>
            <w:pPr>
              <w:spacing w:after="40"/>
            </w:pPr>
            <w:r>
              <w:rPr>
                <w:color w:val="323232"/>
                <w:sz w:val="19"/>
              </w:rPr>
              <w:t>&lt; 1.5 seconds median response latency</w:t>
            </w:r>
          </w:p>
        </w:tc>
      </w:tr>
      <w:tr>
        <w:tc>
          <w:tcPr>
            <w:tcW w:type="dxa" w:w="2592"/>
            <w:shd w:fill="FFFFFF"/>
            <w:tcMar>
              <w:top w:w="80" w:type="dxa"/>
              <w:bottom w:w="80" w:type="dxa"/>
              <w:left w:w="100" w:type="dxa"/>
              <w:right w:w="100" w:type="dxa"/>
            </w:tcMar>
          </w:tcPr>
          <w:p>
            <w:pPr>
              <w:spacing w:after="40"/>
            </w:pPr>
            <w:r>
              <w:rPr>
                <w:b/>
                <w:color w:val="00468C"/>
                <w:sz w:val="19"/>
              </w:rPr>
              <w:t>Developer Adoption</w:t>
            </w:r>
          </w:p>
        </w:tc>
        <w:tc>
          <w:tcPr>
            <w:tcW w:type="dxa" w:w="4608"/>
            <w:shd w:fill="FFFFFF"/>
            <w:tcMar>
              <w:top w:w="80" w:type="dxa"/>
              <w:bottom w:w="80" w:type="dxa"/>
              <w:left w:w="100" w:type="dxa"/>
              <w:right w:w="100" w:type="dxa"/>
            </w:tcMar>
          </w:tcPr>
          <w:p>
            <w:pPr>
              <w:spacing w:after="40"/>
            </w:pPr>
            <w:r>
              <w:rPr>
                <w:color w:val="323232"/>
                <w:sz w:val="19"/>
              </w:rPr>
              <w:t>Achieve high satisfaction rating among pilot enterprise ABAP developers during pilot phase.</w:t>
            </w:r>
          </w:p>
        </w:tc>
        <w:tc>
          <w:tcPr>
            <w:tcW w:type="dxa" w:w="2160"/>
            <w:shd w:fill="FFFFFF"/>
            <w:tcMar>
              <w:top w:w="80" w:type="dxa"/>
              <w:bottom w:w="80" w:type="dxa"/>
              <w:left w:w="100" w:type="dxa"/>
              <w:right w:w="100" w:type="dxa"/>
            </w:tcMar>
          </w:tcPr>
          <w:p>
            <w:pPr>
              <w:spacing w:after="40"/>
            </w:pPr>
            <w:r>
              <w:rPr>
                <w:color w:val="323232"/>
                <w:sz w:val="19"/>
              </w:rPr>
              <w:t>&gt; 85% positive NPS score in Pilot (W12)</w:t>
            </w:r>
          </w:p>
        </w:tc>
      </w:tr>
    </w:tbl>
    <w:p>
      <w:pPr>
        <w:spacing w:after="160"/>
      </w:pPr>
    </w:p>
    <w:p>
      <w:pPr>
        <w:keepNext/>
        <w:spacing w:before="360" w:after="120"/>
      </w:pPr>
      <w:r>
        <w:rPr>
          <w:rFonts w:ascii="Calibri" w:hAnsi="Calibri"/>
          <w:b/>
          <w:color w:val="0050A0"/>
          <w:sz w:val="32"/>
        </w:rPr>
        <w:t>3. SAP ABAP Research &amp; Methodological Foundations</w:t>
      </w:r>
    </w:p>
    <w:p>
      <w:pPr>
        <w:spacing w:before="0" w:after="120" w:line="276" w:lineRule="auto"/>
      </w:pPr>
      <w:r>
        <w:rPr>
          <w:rFonts w:ascii="Calibri" w:hAnsi="Calibri"/>
          <w:color w:val="323232"/>
          <w:sz w:val="22"/>
        </w:rPr>
        <w:t>Developing an AI assistant for SAP ABAP requires a domain-specific understanding of SAP software engineering architecture. Unlike generic programming languages (such as Python or JavaScript), ABAP code operates strictly inside the SAP NetWeaver / ABAP Platform application server, closely coupled with the SAP database dictionary (DDIC), transaction control, and SAP transport organizers.</w:t>
      </w:r>
    </w:p>
    <w:p>
      <w:pPr>
        <w:keepNext/>
        <w:spacing w:before="240" w:after="80"/>
      </w:pPr>
      <w:r>
        <w:rPr>
          <w:rFonts w:ascii="Calibri" w:hAnsi="Calibri"/>
          <w:b/>
          <w:color w:val="285A8C"/>
          <w:sz w:val="26"/>
        </w:rPr>
        <w:t>3.1 Key SAP ABAP Design Methodology Frameworks</w:t>
      </w:r>
    </w:p>
    <w:p>
      <w:pPr>
        <w:pStyle w:val="ListBullet"/>
        <w:spacing w:before="0" w:after="60" w:line="276" w:lineRule="auto"/>
      </w:pPr>
      <w:r>
        <w:rPr>
          <w:rFonts w:ascii="Calibri" w:hAnsi="Calibri"/>
          <w:b/>
          <w:color w:val="1E1E1E"/>
          <w:sz w:val="22"/>
        </w:rPr>
        <w:t xml:space="preserve">Clean ABAP Paradigm: </w:t>
      </w:r>
      <w:r>
        <w:rPr>
          <w:rFonts w:ascii="Calibri" w:hAnsi="Calibri"/>
          <w:color w:val="3C3C3C"/>
          <w:sz w:val="22"/>
        </w:rPr>
        <w:t>Adherence to the official SAP Clean ABAP style guide. The assistant must systematically promote expressions such as inline declarations (DATA(lv_var) = ...), string templates (|Hello { lv_name }|), method chaining, and avoid obsolete statements like TABLES, MOVE, COMPUTE, or HEADER LINE constructs.</w:t>
      </w:r>
    </w:p>
    <w:p>
      <w:pPr>
        <w:pStyle w:val="ListBullet"/>
        <w:spacing w:before="0" w:after="60" w:line="276" w:lineRule="auto"/>
      </w:pPr>
      <w:r>
        <w:rPr>
          <w:rFonts w:ascii="Calibri" w:hAnsi="Calibri"/>
          <w:b/>
          <w:color w:val="1E1E1E"/>
          <w:sz w:val="22"/>
        </w:rPr>
        <w:t xml:space="preserve">ABAP RESTful Programming Model (RAP): </w:t>
      </w:r>
      <w:r>
        <w:rPr>
          <w:rFonts w:ascii="Calibri" w:hAnsi="Calibri"/>
          <w:color w:val="3C3C3C"/>
          <w:sz w:val="22"/>
        </w:rPr>
        <w:t>Modern SAP S/4HANA development relies on CDS (Core Data Services) views, Business Object Behavior Definitions (BDEF), and Service Definitions. The assistant must understand RAP lifecycle annotations, transactional processing via EML (Entity Manipulation Language), and draft handling.</w:t>
      </w:r>
    </w:p>
    <w:p>
      <w:pPr>
        <w:pStyle w:val="ListBullet"/>
        <w:spacing w:before="0" w:after="60" w:line="276" w:lineRule="auto"/>
      </w:pPr>
      <w:r>
        <w:rPr>
          <w:rFonts w:ascii="Calibri" w:hAnsi="Calibri"/>
          <w:b/>
          <w:color w:val="1E1E1E"/>
          <w:sz w:val="22"/>
        </w:rPr>
        <w:t xml:space="preserve">Code-to-Data Architecture: </w:t>
      </w:r>
      <w:r>
        <w:rPr>
          <w:rFonts w:ascii="Calibri" w:hAnsi="Calibri"/>
          <w:color w:val="3C3C3C"/>
          <w:sz w:val="22"/>
        </w:rPr>
        <w:t>Pushing intensive data computations down to the SAP HANA database layer via CDS views, ABAP Managed Database Procedures (AMDP), and open SQL aggregate expressions rather than pulling massive internal tables into ABAP memory.</w:t>
      </w:r>
    </w:p>
    <w:p>
      <w:pPr>
        <w:pStyle w:val="ListBullet"/>
        <w:spacing w:before="0" w:after="60" w:line="276" w:lineRule="auto"/>
      </w:pPr>
      <w:r>
        <w:rPr>
          <w:rFonts w:ascii="Calibri" w:hAnsi="Calibri"/>
          <w:b/>
          <w:color w:val="1E1E1E"/>
          <w:sz w:val="22"/>
        </w:rPr>
        <w:t xml:space="preserve">ABAP Test Cockpit (ATC) &amp; Code Inspector: </w:t>
      </w:r>
      <w:r>
        <w:rPr>
          <w:rFonts w:ascii="Calibri" w:hAnsi="Calibri"/>
          <w:color w:val="3C3C3C"/>
          <w:sz w:val="22"/>
        </w:rPr>
        <w:t>Integration of ATC rule checks directly into the LLM prompt-response evaluation loop. Code suggestions must be pre-evaluated against security rules (SQL injection prevention, authorization check validations via AUTHORITY-CHECK OBJECT).</w:t>
      </w:r>
    </w:p>
    <w:p>
      <w:pPr>
        <w:keepNext/>
        <w:spacing w:before="240" w:after="80"/>
      </w:pPr>
      <w:r>
        <w:rPr>
          <w:rFonts w:ascii="Calibri" w:hAnsi="Calibri"/>
          <w:b/>
          <w:color w:val="285A8C"/>
          <w:sz w:val="26"/>
        </w:rPr>
        <w:t>3.2 Retrieval-Augmented Generation (RAG) Architecture for ABAP</w:t>
      </w:r>
    </w:p>
    <w:p>
      <w:pPr>
        <w:spacing w:before="0" w:after="120" w:line="276" w:lineRule="auto"/>
      </w:pPr>
      <w:r>
        <w:rPr>
          <w:rFonts w:ascii="Calibri" w:hAnsi="Calibri"/>
          <w:color w:val="323232"/>
          <w:sz w:val="22"/>
        </w:rPr>
        <w:t>Due to the specialized syntax of ABAP 7.5+ and custom SAP enterprise structures, generic public LLMs often hallucinate invalid keywords. To mitigate this, our blueprint embeds a specialized RAG engine storing vectorized representations of:</w:t>
      </w:r>
    </w:p>
    <w:p>
      <w:pPr>
        <w:pStyle w:val="ListBullet"/>
        <w:spacing w:before="0" w:after="60" w:line="276" w:lineRule="auto"/>
      </w:pPr>
      <w:r>
        <w:rPr>
          <w:rFonts w:ascii="Calibri" w:hAnsi="Calibri"/>
          <w:b/>
          <w:color w:val="1E1E1E"/>
          <w:sz w:val="22"/>
        </w:rPr>
        <w:t xml:space="preserve">SAP Keyword Documentation: </w:t>
      </w:r>
      <w:r>
        <w:rPr>
          <w:rFonts w:ascii="Calibri" w:hAnsi="Calibri"/>
          <w:color w:val="3C3C3C"/>
          <w:sz w:val="22"/>
        </w:rPr>
        <w:t>Official SAP ABAP language references for versions 7.40 through 7.58.</w:t>
      </w:r>
    </w:p>
    <w:p>
      <w:pPr>
        <w:pStyle w:val="ListBullet"/>
        <w:spacing w:before="0" w:after="60" w:line="276" w:lineRule="auto"/>
      </w:pPr>
      <w:r>
        <w:rPr>
          <w:rFonts w:ascii="Calibri" w:hAnsi="Calibri"/>
          <w:b/>
          <w:color w:val="1E1E1E"/>
          <w:sz w:val="22"/>
        </w:rPr>
        <w:t xml:space="preserve">Custom Enterprise Dictionary (DDIC) Schemas: </w:t>
      </w:r>
      <w:r>
        <w:rPr>
          <w:rFonts w:ascii="Calibri" w:hAnsi="Calibri"/>
          <w:color w:val="3C3C3C"/>
          <w:sz w:val="22"/>
        </w:rPr>
        <w:t>Standard BAPIs (e.g., BAPI_PO_CREATE1), BAdI definitions, standard CDS views (I_PurchaseOrderTP), and customer Z-tables.</w:t>
      </w:r>
    </w:p>
    <w:p>
      <w:pPr>
        <w:pStyle w:val="ListBullet"/>
        <w:spacing w:before="0" w:after="60" w:line="276" w:lineRule="auto"/>
      </w:pPr>
      <w:r>
        <w:rPr>
          <w:rFonts w:ascii="Calibri" w:hAnsi="Calibri"/>
          <w:b/>
          <w:color w:val="1E1E1E"/>
          <w:sz w:val="22"/>
        </w:rPr>
        <w:t xml:space="preserve">Corporate Clean ABAP Rulesets: </w:t>
      </w:r>
      <w:r>
        <w:rPr>
          <w:rFonts w:ascii="Calibri" w:hAnsi="Calibri"/>
          <w:color w:val="3C3C3C"/>
          <w:sz w:val="22"/>
        </w:rPr>
        <w:t>Specific enterprise coding guidelines and naming conventions (e.g., zcl_*, zif_*).</w:t>
      </w:r>
    </w:p>
    <w:p>
      <w:pPr>
        <w:keepNext/>
        <w:spacing w:before="360" w:after="120"/>
      </w:pPr>
      <w:r>
        <w:rPr>
          <w:rFonts w:ascii="Calibri" w:hAnsi="Calibri"/>
          <w:b/>
          <w:color w:val="0050A0"/>
          <w:sz w:val="32"/>
        </w:rPr>
        <w:t>4. Overall System Architecture &amp; Technical Design</w:t>
      </w:r>
    </w:p>
    <w:p>
      <w:pPr>
        <w:spacing w:before="0" w:after="120" w:line="276" w:lineRule="auto"/>
      </w:pPr>
      <w:r>
        <w:rPr>
          <w:rFonts w:ascii="Calibri" w:hAnsi="Calibri"/>
          <w:color w:val="323232"/>
          <w:sz w:val="22"/>
        </w:rPr>
        <w:t>The Virtual SAP ABAP Coding Assistant architecture is designed as a secure, decoupled, hybrid cloud/on-premise system. It connects the developer's IDE with an enterprise AI Orchestration Engine and the target SAP S/4HANA environment.</w:t>
      </w:r>
    </w:p>
    <w:p>
      <w:pPr>
        <w:keepNext/>
        <w:spacing w:before="240" w:after="80"/>
      </w:pPr>
      <w:r>
        <w:rPr>
          <w:rFonts w:ascii="Calibri" w:hAnsi="Calibri"/>
          <w:b/>
          <w:color w:val="285A8C"/>
          <w:sz w:val="26"/>
        </w:rPr>
        <w:t>4.1 High-Level Architectural Diagram</w:t>
      </w:r>
    </w:p>
    <w:tbl>
      <w:tblPr>
        <w:tblW w:type="auto" w:w="0"/>
        <w:jc w:val="center"/>
        <w:tblLook w:firstColumn="1" w:firstRow="1" w:lastColumn="0" w:lastRow="0" w:noHBand="0" w:noVBand="1" w:val="04A0"/>
      </w:tblPr>
      <w:tblGrid>
        <w:gridCol w:w="9360"/>
      </w:tblGrid>
      <w:tr>
        <w:tc>
          <w:tcPr>
            <w:tcW w:type="dxa" w:w="9360"/>
            <w:shd w:fill="F4F6FB"/>
            <w:tcMar>
              <w:top w:w="140" w:type="dxa"/>
              <w:bottom w:w="140" w:type="dxa"/>
              <w:left w:w="150" w:type="dxa"/>
              <w:right w:w="150" w:type="dxa"/>
            </w:tcMar>
          </w:tcPr>
          <w:p>
            <w:pPr>
              <w:spacing w:before="40" w:after="40"/>
            </w:pPr>
            <w:r>
              <w:rPr>
                <w:rFonts w:ascii="Consolas" w:hAnsi="Consolas"/>
                <w:color w:val="003264"/>
                <w:sz w:val="17"/>
              </w:rPr>
              <w:t>+---------------------------------------------------------------------------------------+</w:t>
              <w:br/>
              <w:t>|                             1. CLIENT &amp; DEVELOPER IDE LAYER                           |</w:t>
              <w:br/>
              <w:t>|  +-------------------------------------+   +---------------------------------------+  |</w:t>
              <w:br/>
              <w:t>|  |  Eclipse ADT Plugin (ABAP Dev)      |   |  VS Code ABAP Assistant Extension    |  |</w:t>
              <w:br/>
              <w:t>|  |  - Inline Completion &amp; Chat Panel   |   |  - Syntax Highlight &amp; ATC Alerts      |  |</w:t>
              <w:br/>
              <w:t>|  +------------------+------------------+   +-------------------+-------------------+  |</w:t>
              <w:br/>
              <w:t>+---------------------|------------------------------------------|----------------------+</w:t>
              <w:br/>
              <w:t xml:space="preserve">                      | HTTPS / gRPC (TLS 1.3 + mTLS)            |</w:t>
              <w:br/>
              <w:t xml:space="preserve">                      v                                          v</w:t>
              <w:br/>
              <w:t>+---------------------------------------------------------------------------------------+</w:t>
              <w:br/>
              <w:t>|                        2. AI ORCHESTRATION &amp; GATEWAY LAYER                            |</w:t>
              <w:br/>
              <w:t>|  +---------------------------------------------------------------------------------+  |</w:t>
              <w:br/>
              <w:t>|  |  FastAPI / Node.js AI Middleware Gateway (Deployed on SAP BTP / Kubernetes)       |  |</w:t>
              <w:br/>
              <w:t>|  |  - JWT Auth / SAP IAS Validation  - Prompt Sanitizer &amp; PII Masking Engine       |  |</w:t>
              <w:br/>
              <w:t>|  |  - Rate Limiter &amp; Token Metering  - Context Assembler &amp; Prompt Orchestrator     |  |</w:t>
              <w:br/>
              <w:t>|  +------------------+------------------------------------------+-------------------+  |</w:t>
              <w:br/>
              <w:t>+---------------------|------------------------------------------|----------------------+</w:t>
              <w:br/>
              <w:t xml:space="preserve">                      | Vector Search                            | LLM Prompt Dispatch</w:t>
              <w:br/>
              <w:t xml:space="preserve">                      v                                          v</w:t>
              <w:br/>
              <w:t>+------------------------------------+   +----------------------------------------------+</w:t>
              <w:br/>
              <w:t>|     3. RAG VECTOR DATABASE         |   |         4. LLM INFERENCE ENGINE              |</w:t>
              <w:br/>
              <w:t>|  - Qdrant / FAISS Vector DB        |   |  - Enterprise Azure OpenAI / SAP BTP AI Core |</w:t>
              <w:br/>
              <w:t>|  - SAP ABAP 7.5+ Syntax Index      |   |  - Fine-Tuned ABAP Coding Model              |</w:t>
              <w:br/>
              <w:t>|  - Clean ABAP Style Vector Index   |   |  - Code Generation &amp; Refactoring Pipeline    |</w:t>
              <w:br/>
              <w:t>+------------------------------------+   +----------------------------------------------+</w:t>
              <w:br/>
              <w:t xml:space="preserve">                                                                |</w:t>
              <w:br/>
              <w:t xml:space="preserve">                      +-----------------------------------------+</w:t>
              <w:br/>
              <w:t xml:space="preserve">                      | RFC / OData v4 Syntax Validation</w:t>
              <w:br/>
              <w:t xml:space="preserve">                      v</w:t>
              <w:br/>
              <w:t>+---------------------------------------------------------------------------------------+</w:t>
              <w:br/>
              <w:t>|                         5. TARGET SAP S/4HANA BACKEND ENVIRONMENT                     |</w:t>
              <w:br/>
              <w:t>|  +-----------------------------------+   +-----------------------------------------+  |</w:t>
              <w:br/>
              <w:t>|  | SAP Syntax Verification RFC Service|   | SAP ATC (ABAP Test Cockpit) RFC Service |  |</w:t>
              <w:br/>
              <w:t>|  | - Performs real-time syntax check  |   | - Executes static security check        |  |</w:t>
              <w:br/>
              <w:t>|  +-----------------------------------+   +-----------------------------------------+  |</w:t>
              <w:br/>
              <w:t>+---------------------------------------------------------------------------------------+</w:t>
            </w:r>
          </w:p>
        </w:tc>
      </w:tr>
    </w:tbl>
    <w:p>
      <w:pPr>
        <w:spacing w:after="120"/>
      </w:pPr>
    </w:p>
    <w:p>
      <w:pPr>
        <w:keepNext/>
        <w:spacing w:before="240" w:after="80"/>
      </w:pPr>
      <w:r>
        <w:rPr>
          <w:rFonts w:ascii="Calibri" w:hAnsi="Calibri"/>
          <w:b/>
          <w:color w:val="285A8C"/>
          <w:sz w:val="26"/>
        </w:rPr>
        <w:t>4.2 System Component Descriptions</w:t>
      </w:r>
    </w:p>
    <w:p>
      <w:pPr>
        <w:pStyle w:val="ListBullet"/>
        <w:spacing w:before="0" w:after="60" w:line="276" w:lineRule="auto"/>
      </w:pPr>
      <w:r>
        <w:rPr>
          <w:rFonts w:ascii="Calibri" w:hAnsi="Calibri"/>
          <w:b/>
          <w:color w:val="1E1E1E"/>
          <w:sz w:val="22"/>
        </w:rPr>
        <w:t xml:space="preserve">1. Client IDE Layer: </w:t>
      </w:r>
      <w:r>
        <w:rPr>
          <w:rFonts w:ascii="Calibri" w:hAnsi="Calibri"/>
          <w:color w:val="3C3C3C"/>
          <w:sz w:val="22"/>
        </w:rPr>
        <w:t>Integrates directly into Eclipse ABAP Development Tools (ADT) via Java/Eclipse plugin hooks and VS Code via a custom extension. Captures cursor position, active method body, and surrounding class context.</w:t>
      </w:r>
    </w:p>
    <w:p>
      <w:pPr>
        <w:pStyle w:val="ListBullet"/>
        <w:spacing w:before="0" w:after="60" w:line="276" w:lineRule="auto"/>
      </w:pPr>
      <w:r>
        <w:rPr>
          <w:rFonts w:ascii="Calibri" w:hAnsi="Calibri"/>
          <w:b/>
          <w:color w:val="1E1E1E"/>
          <w:sz w:val="22"/>
        </w:rPr>
        <w:t xml:space="preserve">2. AI Orchestration Middleware: </w:t>
      </w:r>
      <w:r>
        <w:rPr>
          <w:rFonts w:ascii="Calibri" w:hAnsi="Calibri"/>
          <w:color w:val="3C3C3C"/>
          <w:sz w:val="22"/>
        </w:rPr>
        <w:t>Hosted on SAP Business Technology Platform (BTP) Kyma/Cloud Foundry or enterprise Kubernetes. Handles security authorization via SAP Identity Authentication Service (IAS), strips confidential business PII data, and constructs contextual prompts.</w:t>
      </w:r>
    </w:p>
    <w:p>
      <w:pPr>
        <w:pStyle w:val="ListBullet"/>
        <w:spacing w:before="0" w:after="60" w:line="276" w:lineRule="auto"/>
      </w:pPr>
      <w:r>
        <w:rPr>
          <w:rFonts w:ascii="Calibri" w:hAnsi="Calibri"/>
          <w:b/>
          <w:color w:val="1E1E1E"/>
          <w:sz w:val="22"/>
        </w:rPr>
        <w:t xml:space="preserve">3. RAG Vector Knowledge Base: </w:t>
      </w:r>
      <w:r>
        <w:rPr>
          <w:rFonts w:ascii="Calibri" w:hAnsi="Calibri"/>
          <w:color w:val="3C3C3C"/>
          <w:sz w:val="22"/>
        </w:rPr>
        <w:t>Vector database storing high-density embeddings of SAP standard function modules, BAPIs, modern ABAP syntax trees, and company-specific coding guidelines.</w:t>
      </w:r>
    </w:p>
    <w:p>
      <w:pPr>
        <w:pStyle w:val="ListBullet"/>
        <w:spacing w:before="0" w:after="60" w:line="276" w:lineRule="auto"/>
      </w:pPr>
      <w:r>
        <w:rPr>
          <w:rFonts w:ascii="Calibri" w:hAnsi="Calibri"/>
          <w:b/>
          <w:color w:val="1E1E1E"/>
          <w:sz w:val="22"/>
        </w:rPr>
        <w:t xml:space="preserve">4. LLM Inference Engine: </w:t>
      </w:r>
      <w:r>
        <w:rPr>
          <w:rFonts w:ascii="Calibri" w:hAnsi="Calibri"/>
          <w:color w:val="3C3C3C"/>
          <w:sz w:val="22"/>
        </w:rPr>
        <w:t>Utilizes specialized code models (e.g., Azure OpenAI GPT-4o / Claude 3.5 Sonnet / fine-tuned DeepSeek Coder) optimized for code synthesis and low-latency inference via SAP BTP AI Core.</w:t>
      </w:r>
    </w:p>
    <w:p>
      <w:pPr>
        <w:pStyle w:val="ListBullet"/>
        <w:spacing w:before="0" w:after="60" w:line="276" w:lineRule="auto"/>
      </w:pPr>
      <w:r>
        <w:rPr>
          <w:rFonts w:ascii="Calibri" w:hAnsi="Calibri"/>
          <w:b/>
          <w:color w:val="1E1E1E"/>
          <w:sz w:val="22"/>
        </w:rPr>
        <w:t xml:space="preserve">5. SAP S/4HANA RFC Gateway: </w:t>
      </w:r>
      <w:r>
        <w:rPr>
          <w:rFonts w:ascii="Calibri" w:hAnsi="Calibri"/>
          <w:color w:val="3C3C3C"/>
          <w:sz w:val="22"/>
        </w:rPr>
        <w:t>Communicates with target SAP systems via Secure Network Communications (SNC) RFC calls to execute background syntax checks (`SYNTAX-CHECK STATEMENT`) and ATC inspections prior to returning suggested code to the developer.</w:t>
      </w:r>
    </w:p>
    <w:p>
      <w:pPr>
        <w:keepNext/>
        <w:spacing w:before="360" w:after="120"/>
      </w:pPr>
      <w:r>
        <w:rPr>
          <w:rFonts w:ascii="Calibri" w:hAnsi="Calibri"/>
          <w:b/>
          <w:color w:val="0050A0"/>
          <w:sz w:val="32"/>
        </w:rPr>
        <w:t>5. Detailed Project Timeline, WBS &amp; Strategic Milestones</w:t>
      </w:r>
    </w:p>
    <w:p>
      <w:pPr>
        <w:spacing w:before="0" w:after="120" w:line="276" w:lineRule="auto"/>
      </w:pPr>
      <w:r>
        <w:rPr>
          <w:rFonts w:ascii="Calibri" w:hAnsi="Calibri"/>
          <w:color w:val="323232"/>
          <w:sz w:val="22"/>
        </w:rPr>
        <w:t>The project will be executed over a structured 12-week timeframe organized into five distinct phases using a hybrid Agile-StageGate methodology. Below is the comprehensive Work Breakdown Structure (WBS) and Gantt Chart schedule.</w:t>
      </w:r>
    </w:p>
    <w:p>
      <w:pPr>
        <w:keepNext/>
        <w:spacing w:before="240" w:after="80"/>
      </w:pPr>
      <w:r>
        <w:rPr>
          <w:rFonts w:ascii="Calibri" w:hAnsi="Calibri"/>
          <w:b/>
          <w:color w:val="285A8C"/>
          <w:sz w:val="26"/>
        </w:rPr>
        <w:t>5.1 Work Breakdown Structure (WBS)</w:t>
      </w:r>
    </w:p>
    <w:p>
      <w:pPr>
        <w:pStyle w:val="ListBullet"/>
        <w:spacing w:before="0" w:after="60" w:line="276" w:lineRule="auto"/>
      </w:pPr>
      <w:r>
        <w:rPr>
          <w:rFonts w:ascii="Calibri" w:hAnsi="Calibri"/>
          <w:b/>
          <w:color w:val="1E1E1E"/>
          <w:sz w:val="22"/>
        </w:rPr>
        <w:t>Phase 1: Inception, Architecture &amp; Environment Setup (Weeks 1 - 2)</w:t>
      </w:r>
      <w:r>
        <w:rPr>
          <w:rFonts w:ascii="Calibri" w:hAnsi="Calibri"/>
          <w:color w:val="3C3C3C"/>
          <w:sz w:val="22"/>
        </w:rPr>
        <w:t>Finalize blueprint, establish SAP BTP sandbox, setup vector DB, deploy baseline IDE plugins.</w:t>
      </w:r>
    </w:p>
    <w:p>
      <w:pPr>
        <w:pStyle w:val="ListBullet"/>
        <w:spacing w:before="0" w:after="60" w:line="276" w:lineRule="auto"/>
      </w:pPr>
      <w:r>
        <w:rPr>
          <w:rFonts w:ascii="Calibri" w:hAnsi="Calibri"/>
          <w:b/>
          <w:color w:val="1E1E1E"/>
          <w:sz w:val="22"/>
        </w:rPr>
        <w:t>Phase 2: RAG Pipeline &amp; ABAP Domain Embeddings (Weeks 3 - 5)</w:t>
      </w:r>
      <w:r>
        <w:rPr>
          <w:rFonts w:ascii="Calibri" w:hAnsi="Calibri"/>
          <w:color w:val="3C3C3C"/>
          <w:sz w:val="22"/>
        </w:rPr>
        <w:t>Parse SAP ABAP 7.5+ syntax docs, build chunking pipeline, index Clean ABAP rules, integrate DDIC metadata connector.</w:t>
      </w:r>
    </w:p>
    <w:p>
      <w:pPr>
        <w:pStyle w:val="ListBullet"/>
        <w:spacing w:before="0" w:after="60" w:line="276" w:lineRule="auto"/>
      </w:pPr>
      <w:r>
        <w:rPr>
          <w:rFonts w:ascii="Calibri" w:hAnsi="Calibri"/>
          <w:b/>
          <w:color w:val="1E1E1E"/>
          <w:sz w:val="22"/>
        </w:rPr>
        <w:t>Phase 3: Core Assistant Engine &amp; IDE Integration (Weeks 6 - 9)</w:t>
      </w:r>
      <w:r>
        <w:rPr>
          <w:rFonts w:ascii="Calibri" w:hAnsi="Calibri"/>
          <w:color w:val="3C3C3C"/>
          <w:sz w:val="22"/>
        </w:rPr>
        <w:t>Develop prompt orchestration gateway, implement inline completion, build ATC refactoring module and ABAP Unit auto-generator.</w:t>
      </w:r>
    </w:p>
    <w:p>
      <w:pPr>
        <w:pStyle w:val="ListBullet"/>
        <w:spacing w:before="0" w:after="60" w:line="276" w:lineRule="auto"/>
      </w:pPr>
      <w:r>
        <w:rPr>
          <w:rFonts w:ascii="Calibri" w:hAnsi="Calibri"/>
          <w:b/>
          <w:color w:val="1E1E1E"/>
          <w:sz w:val="22"/>
        </w:rPr>
        <w:t>Phase 4: Evaluation, Fine-Tuning &amp; ATC Validation (Weeks 10 - 11)</w:t>
      </w:r>
      <w:r>
        <w:rPr>
          <w:rFonts w:ascii="Calibri" w:hAnsi="Calibri"/>
          <w:color w:val="3C3C3C"/>
          <w:sz w:val="22"/>
        </w:rPr>
        <w:t>Conduct benchmark suite evaluation across 200 real-world ABAP tasks, fine-tune context windowing, optimize RFC validation calls.</w:t>
      </w:r>
    </w:p>
    <w:p>
      <w:pPr>
        <w:pStyle w:val="ListBullet"/>
        <w:spacing w:before="0" w:after="60" w:line="276" w:lineRule="auto"/>
      </w:pPr>
      <w:r>
        <w:rPr>
          <w:rFonts w:ascii="Calibri" w:hAnsi="Calibri"/>
          <w:b/>
          <w:color w:val="1E1E1E"/>
          <w:sz w:val="22"/>
        </w:rPr>
        <w:t>Phase 5: Prototype Deployment &amp; Enterprise Pilot Execution (Week 12)</w:t>
      </w:r>
      <w:r>
        <w:rPr>
          <w:rFonts w:ascii="Calibri" w:hAnsi="Calibri"/>
          <w:color w:val="3C3C3C"/>
          <w:sz w:val="22"/>
        </w:rPr>
        <w:t>Deploy v1.0 prototype to pilot developer cohort, execute user evaluation, present executive readout.</w:t>
      </w:r>
    </w:p>
    <w:p>
      <w:pPr>
        <w:keepNext/>
        <w:spacing w:before="240" w:after="80"/>
      </w:pPr>
      <w:r>
        <w:rPr>
          <w:rFonts w:ascii="Calibri" w:hAnsi="Calibri"/>
          <w:b/>
          <w:color w:val="285A8C"/>
          <w:sz w:val="26"/>
        </w:rPr>
        <w:t>5.2 12-Week Gantt Chart Schedule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3168"/>
            <w:shd w:fill="0070D2"/>
            <w:tcMar>
              <w:top w:w="120" w:type="dxa"/>
              <w:bottom w:w="120" w:type="dxa"/>
              <w:left w:w="120" w:type="dxa"/>
              <w:right w:w="120" w:type="dxa"/>
            </w:tcMar>
          </w:tcPr>
          <w:p>
            <w:pPr>
              <w:jc w:val="left"/>
            </w:pPr>
            <w:r>
              <w:rPr>
                <w:rFonts w:ascii="Calibri" w:hAnsi="Calibri"/>
                <w:b/>
                <w:color w:val="FFFFFF"/>
                <w:sz w:val="20"/>
              </w:rPr>
              <w:t>Phase / Activity</w:t>
            </w:r>
          </w:p>
        </w:tc>
        <w:tc>
          <w:tcPr>
            <w:tcW w:type="dxa" w:w="1008"/>
            <w:shd w:fill="0070D2"/>
            <w:tcMar>
              <w:top w:w="120" w:type="dxa"/>
              <w:bottom w:w="120" w:type="dxa"/>
              <w:left w:w="120" w:type="dxa"/>
              <w:right w:w="120" w:type="dxa"/>
            </w:tcMar>
          </w:tcPr>
          <w:p>
            <w:pPr>
              <w:jc w:val="left"/>
            </w:pPr>
            <w:r>
              <w:rPr>
                <w:rFonts w:ascii="Calibri" w:hAnsi="Calibri"/>
                <w:b/>
                <w:color w:val="FFFFFF"/>
                <w:sz w:val="20"/>
              </w:rPr>
              <w:t>W1-2</w:t>
            </w:r>
          </w:p>
        </w:tc>
        <w:tc>
          <w:tcPr>
            <w:tcW w:type="dxa" w:w="1008"/>
            <w:shd w:fill="0070D2"/>
            <w:tcMar>
              <w:top w:w="120" w:type="dxa"/>
              <w:bottom w:w="120" w:type="dxa"/>
              <w:left w:w="120" w:type="dxa"/>
              <w:right w:w="120" w:type="dxa"/>
            </w:tcMar>
          </w:tcPr>
          <w:p>
            <w:pPr>
              <w:jc w:val="left"/>
            </w:pPr>
            <w:r>
              <w:rPr>
                <w:rFonts w:ascii="Calibri" w:hAnsi="Calibri"/>
                <w:b/>
                <w:color w:val="FFFFFF"/>
                <w:sz w:val="20"/>
              </w:rPr>
              <w:t>W3-5</w:t>
            </w:r>
          </w:p>
        </w:tc>
        <w:tc>
          <w:tcPr>
            <w:tcW w:type="dxa" w:w="1008"/>
            <w:shd w:fill="0070D2"/>
            <w:tcMar>
              <w:top w:w="120" w:type="dxa"/>
              <w:bottom w:w="120" w:type="dxa"/>
              <w:left w:w="120" w:type="dxa"/>
              <w:right w:w="120" w:type="dxa"/>
            </w:tcMar>
          </w:tcPr>
          <w:p>
            <w:pPr>
              <w:jc w:val="left"/>
            </w:pPr>
            <w:r>
              <w:rPr>
                <w:rFonts w:ascii="Calibri" w:hAnsi="Calibri"/>
                <w:b/>
                <w:color w:val="FFFFFF"/>
                <w:sz w:val="20"/>
              </w:rPr>
              <w:t>W6-8</w:t>
            </w:r>
          </w:p>
        </w:tc>
        <w:tc>
          <w:tcPr>
            <w:tcW w:type="dxa" w:w="1008"/>
            <w:shd w:fill="0070D2"/>
            <w:tcMar>
              <w:top w:w="120" w:type="dxa"/>
              <w:bottom w:w="120" w:type="dxa"/>
              <w:left w:w="120" w:type="dxa"/>
              <w:right w:w="120" w:type="dxa"/>
            </w:tcMar>
          </w:tcPr>
          <w:p>
            <w:pPr>
              <w:jc w:val="left"/>
            </w:pPr>
            <w:r>
              <w:rPr>
                <w:rFonts w:ascii="Calibri" w:hAnsi="Calibri"/>
                <w:b/>
                <w:color w:val="FFFFFF"/>
                <w:sz w:val="20"/>
              </w:rPr>
              <w:t>W9-10</w:t>
            </w:r>
          </w:p>
        </w:tc>
        <w:tc>
          <w:tcPr>
            <w:tcW w:type="dxa" w:w="1008"/>
            <w:shd w:fill="0070D2"/>
            <w:tcMar>
              <w:top w:w="120" w:type="dxa"/>
              <w:bottom w:w="120" w:type="dxa"/>
              <w:left w:w="120" w:type="dxa"/>
              <w:right w:w="120" w:type="dxa"/>
            </w:tcMar>
          </w:tcPr>
          <w:p>
            <w:pPr>
              <w:jc w:val="left"/>
            </w:pPr>
            <w:r>
              <w:rPr>
                <w:rFonts w:ascii="Calibri" w:hAnsi="Calibri"/>
                <w:b/>
                <w:color w:val="FFFFFF"/>
                <w:sz w:val="20"/>
              </w:rPr>
              <w:t>W11</w:t>
            </w:r>
          </w:p>
        </w:tc>
        <w:tc>
          <w:tcPr>
            <w:tcW w:type="dxa" w:w="1152"/>
            <w:shd w:fill="0070D2"/>
            <w:tcMar>
              <w:top w:w="120" w:type="dxa"/>
              <w:bottom w:w="120" w:type="dxa"/>
              <w:left w:w="120" w:type="dxa"/>
              <w:right w:w="120" w:type="dxa"/>
            </w:tcMar>
          </w:tcPr>
          <w:p>
            <w:pPr>
              <w:jc w:val="left"/>
            </w:pPr>
            <w:r>
              <w:rPr>
                <w:rFonts w:ascii="Calibri" w:hAnsi="Calibri"/>
                <w:b/>
                <w:color w:val="FFFFFF"/>
                <w:sz w:val="20"/>
              </w:rPr>
              <w:t>W12</w:t>
            </w:r>
          </w:p>
        </w:tc>
      </w:tr>
      <w:tr>
        <w:tc>
          <w:tcPr>
            <w:tcW w:type="dxa" w:w="3168"/>
            <w:shd w:fill="F9FAFC"/>
            <w:tcMar>
              <w:top w:w="80" w:type="dxa"/>
              <w:bottom w:w="80" w:type="dxa"/>
              <w:left w:w="60" w:type="dxa"/>
              <w:right w:w="60" w:type="dxa"/>
            </w:tcMar>
          </w:tcPr>
          <w:p>
            <w:pPr>
              <w:spacing w:after="40"/>
              <w:jc w:val="left"/>
            </w:pPr>
            <w:r>
              <w:rPr>
                <w:b/>
                <w:color w:val="00468C"/>
                <w:sz w:val="19"/>
              </w:rPr>
              <w:t>P1: Inception &amp; Architecture Setup</w:t>
            </w:r>
          </w:p>
        </w:tc>
        <w:tc>
          <w:tcPr>
            <w:tcW w:type="dxa" w:w="1008"/>
            <w:shd w:fill="F9FAFC"/>
            <w:tcMar>
              <w:top w:w="80" w:type="dxa"/>
              <w:bottom w:w="80" w:type="dxa"/>
              <w:left w:w="60" w:type="dxa"/>
              <w:right w:w="60" w:type="dxa"/>
            </w:tcMar>
          </w:tcPr>
          <w:p>
            <w:pPr>
              <w:spacing w:after="40"/>
              <w:jc w:val="center"/>
            </w:pPr>
            <w:r>
              <w:rPr>
                <w:b/>
                <w:color w:val="0070D2"/>
                <w:sz w:val="19"/>
              </w:rPr>
              <w:t>█████</w:t>
            </w:r>
          </w:p>
        </w:tc>
        <w:tc>
          <w:tcPr>
            <w:tcW w:type="dxa" w:w="1008"/>
            <w:shd w:fill="F9FAFC"/>
            <w:tcMar>
              <w:top w:w="80" w:type="dxa"/>
              <w:bottom w:w="80" w:type="dxa"/>
              <w:left w:w="60" w:type="dxa"/>
              <w:right w:w="60" w:type="dxa"/>
            </w:tcMar>
          </w:tcPr>
          <w:p>
            <w:pPr>
              <w:spacing w:after="40"/>
              <w:jc w:val="center"/>
            </w:pPr>
            <w:r>
              <w:rPr>
                <w:color w:val="B4B4B4"/>
                <w:sz w:val="19"/>
              </w:rPr>
              <w:t>░░░░░</w:t>
            </w:r>
          </w:p>
        </w:tc>
        <w:tc>
          <w:tcPr>
            <w:tcW w:type="dxa" w:w="1008"/>
            <w:shd w:fill="F9FAFC"/>
            <w:tcMar>
              <w:top w:w="80" w:type="dxa"/>
              <w:bottom w:w="80" w:type="dxa"/>
              <w:left w:w="60" w:type="dxa"/>
              <w:right w:w="60" w:type="dxa"/>
            </w:tcMar>
          </w:tcPr>
          <w:p>
            <w:pPr>
              <w:spacing w:after="40"/>
              <w:jc w:val="center"/>
            </w:pPr>
            <w:r>
              <w:rPr>
                <w:color w:val="B4B4B4"/>
                <w:sz w:val="19"/>
              </w:rPr>
              <w:t>░░░░░</w:t>
            </w:r>
          </w:p>
        </w:tc>
        <w:tc>
          <w:tcPr>
            <w:tcW w:type="dxa" w:w="1008"/>
            <w:shd w:fill="F9FAFC"/>
            <w:tcMar>
              <w:top w:w="80" w:type="dxa"/>
              <w:bottom w:w="80" w:type="dxa"/>
              <w:left w:w="60" w:type="dxa"/>
              <w:right w:w="60" w:type="dxa"/>
            </w:tcMar>
          </w:tcPr>
          <w:p>
            <w:pPr>
              <w:spacing w:after="40"/>
              <w:jc w:val="center"/>
            </w:pPr>
            <w:r>
              <w:rPr>
                <w:color w:val="B4B4B4"/>
                <w:sz w:val="19"/>
              </w:rPr>
              <w:t>░░░░░</w:t>
            </w:r>
          </w:p>
        </w:tc>
        <w:tc>
          <w:tcPr>
            <w:tcW w:type="dxa" w:w="1008"/>
            <w:shd w:fill="F9FAFC"/>
            <w:tcMar>
              <w:top w:w="80" w:type="dxa"/>
              <w:bottom w:w="80" w:type="dxa"/>
              <w:left w:w="60" w:type="dxa"/>
              <w:right w:w="60" w:type="dxa"/>
            </w:tcMar>
          </w:tcPr>
          <w:p>
            <w:pPr>
              <w:spacing w:after="40"/>
              <w:jc w:val="center"/>
            </w:pPr>
            <w:r>
              <w:rPr>
                <w:color w:val="B4B4B4"/>
                <w:sz w:val="19"/>
              </w:rPr>
              <w:t>░░░░░</w:t>
            </w:r>
          </w:p>
        </w:tc>
        <w:tc>
          <w:tcPr>
            <w:tcW w:type="dxa" w:w="1152"/>
            <w:shd w:fill="F9FAFC"/>
            <w:tcMar>
              <w:top w:w="80" w:type="dxa"/>
              <w:bottom w:w="80" w:type="dxa"/>
              <w:left w:w="60" w:type="dxa"/>
              <w:right w:w="60" w:type="dxa"/>
            </w:tcMar>
          </w:tcPr>
          <w:p>
            <w:pPr>
              <w:spacing w:after="40"/>
              <w:jc w:val="center"/>
            </w:pPr>
            <w:r>
              <w:rPr>
                <w:color w:val="B4B4B4"/>
                <w:sz w:val="19"/>
              </w:rPr>
              <w:t>░░░░░</w:t>
            </w:r>
          </w:p>
        </w:tc>
      </w:tr>
      <w:tr>
        <w:tc>
          <w:tcPr>
            <w:tcW w:type="dxa" w:w="3168"/>
            <w:shd w:fill="FFFFFF"/>
            <w:tcMar>
              <w:top w:w="80" w:type="dxa"/>
              <w:bottom w:w="80" w:type="dxa"/>
              <w:left w:w="60" w:type="dxa"/>
              <w:right w:w="60" w:type="dxa"/>
            </w:tcMar>
          </w:tcPr>
          <w:p>
            <w:pPr>
              <w:spacing w:after="40"/>
              <w:jc w:val="left"/>
            </w:pPr>
            <w:r>
              <w:rPr>
                <w:b/>
                <w:color w:val="00468C"/>
                <w:sz w:val="19"/>
              </w:rPr>
              <w:t>P2: RAG Pipeline &amp; Data Indexing</w:t>
            </w:r>
          </w:p>
        </w:tc>
        <w:tc>
          <w:tcPr>
            <w:tcW w:type="dxa" w:w="1008"/>
            <w:shd w:fill="FFFFFF"/>
            <w:tcMar>
              <w:top w:w="80" w:type="dxa"/>
              <w:bottom w:w="80" w:type="dxa"/>
              <w:left w:w="60" w:type="dxa"/>
              <w:right w:w="60" w:type="dxa"/>
            </w:tcMar>
          </w:tcPr>
          <w:p>
            <w:pPr>
              <w:spacing w:after="40"/>
              <w:jc w:val="center"/>
            </w:pPr>
            <w:r>
              <w:rPr>
                <w:color w:val="B4B4B4"/>
                <w:sz w:val="19"/>
              </w:rPr>
              <w:t>░░░░░</w:t>
            </w:r>
          </w:p>
        </w:tc>
        <w:tc>
          <w:tcPr>
            <w:tcW w:type="dxa" w:w="1008"/>
            <w:shd w:fill="FFFFFF"/>
            <w:tcMar>
              <w:top w:w="80" w:type="dxa"/>
              <w:bottom w:w="80" w:type="dxa"/>
              <w:left w:w="60" w:type="dxa"/>
              <w:right w:w="60" w:type="dxa"/>
            </w:tcMar>
          </w:tcPr>
          <w:p>
            <w:pPr>
              <w:spacing w:after="40"/>
              <w:jc w:val="center"/>
            </w:pPr>
            <w:r>
              <w:rPr>
                <w:b/>
                <w:color w:val="0070D2"/>
                <w:sz w:val="19"/>
              </w:rPr>
              <w:t>█████</w:t>
            </w:r>
          </w:p>
        </w:tc>
        <w:tc>
          <w:tcPr>
            <w:tcW w:type="dxa" w:w="1008"/>
            <w:shd w:fill="FFFFFF"/>
            <w:tcMar>
              <w:top w:w="80" w:type="dxa"/>
              <w:bottom w:w="80" w:type="dxa"/>
              <w:left w:w="60" w:type="dxa"/>
              <w:right w:w="60" w:type="dxa"/>
            </w:tcMar>
          </w:tcPr>
          <w:p>
            <w:pPr>
              <w:spacing w:after="40"/>
              <w:jc w:val="center"/>
            </w:pPr>
            <w:r>
              <w:rPr>
                <w:color w:val="B4B4B4"/>
                <w:sz w:val="19"/>
              </w:rPr>
              <w:t>░░░░░</w:t>
            </w:r>
          </w:p>
        </w:tc>
        <w:tc>
          <w:tcPr>
            <w:tcW w:type="dxa" w:w="1008"/>
            <w:shd w:fill="FFFFFF"/>
            <w:tcMar>
              <w:top w:w="80" w:type="dxa"/>
              <w:bottom w:w="80" w:type="dxa"/>
              <w:left w:w="60" w:type="dxa"/>
              <w:right w:w="60" w:type="dxa"/>
            </w:tcMar>
          </w:tcPr>
          <w:p>
            <w:pPr>
              <w:spacing w:after="40"/>
              <w:jc w:val="center"/>
            </w:pPr>
            <w:r>
              <w:rPr>
                <w:color w:val="B4B4B4"/>
                <w:sz w:val="19"/>
              </w:rPr>
              <w:t>░░░░░</w:t>
            </w:r>
          </w:p>
        </w:tc>
        <w:tc>
          <w:tcPr>
            <w:tcW w:type="dxa" w:w="1008"/>
            <w:shd w:fill="FFFFFF"/>
            <w:tcMar>
              <w:top w:w="80" w:type="dxa"/>
              <w:bottom w:w="80" w:type="dxa"/>
              <w:left w:w="60" w:type="dxa"/>
              <w:right w:w="60" w:type="dxa"/>
            </w:tcMar>
          </w:tcPr>
          <w:p>
            <w:pPr>
              <w:spacing w:after="40"/>
              <w:jc w:val="center"/>
            </w:pPr>
            <w:r>
              <w:rPr>
                <w:color w:val="B4B4B4"/>
                <w:sz w:val="19"/>
              </w:rPr>
              <w:t>░░░░░</w:t>
            </w:r>
          </w:p>
        </w:tc>
        <w:tc>
          <w:tcPr>
            <w:tcW w:type="dxa" w:w="1152"/>
            <w:shd w:fill="FFFFFF"/>
            <w:tcMar>
              <w:top w:w="80" w:type="dxa"/>
              <w:bottom w:w="80" w:type="dxa"/>
              <w:left w:w="60" w:type="dxa"/>
              <w:right w:w="60" w:type="dxa"/>
            </w:tcMar>
          </w:tcPr>
          <w:p>
            <w:pPr>
              <w:spacing w:after="40"/>
              <w:jc w:val="center"/>
            </w:pPr>
            <w:r>
              <w:rPr>
                <w:color w:val="B4B4B4"/>
                <w:sz w:val="19"/>
              </w:rPr>
              <w:t>░░░░░</w:t>
            </w:r>
          </w:p>
        </w:tc>
      </w:tr>
      <w:tr>
        <w:tc>
          <w:tcPr>
            <w:tcW w:type="dxa" w:w="3168"/>
            <w:shd w:fill="F9FAFC"/>
            <w:tcMar>
              <w:top w:w="80" w:type="dxa"/>
              <w:bottom w:w="80" w:type="dxa"/>
              <w:left w:w="60" w:type="dxa"/>
              <w:right w:w="60" w:type="dxa"/>
            </w:tcMar>
          </w:tcPr>
          <w:p>
            <w:pPr>
              <w:spacing w:after="40"/>
              <w:jc w:val="left"/>
            </w:pPr>
            <w:r>
              <w:rPr>
                <w:b/>
                <w:color w:val="00468C"/>
                <w:sz w:val="19"/>
              </w:rPr>
              <w:t>P3: Core Engine &amp; IDE Integration</w:t>
            </w:r>
          </w:p>
        </w:tc>
        <w:tc>
          <w:tcPr>
            <w:tcW w:type="dxa" w:w="1008"/>
            <w:shd w:fill="F9FAFC"/>
            <w:tcMar>
              <w:top w:w="80" w:type="dxa"/>
              <w:bottom w:w="80" w:type="dxa"/>
              <w:left w:w="60" w:type="dxa"/>
              <w:right w:w="60" w:type="dxa"/>
            </w:tcMar>
          </w:tcPr>
          <w:p>
            <w:pPr>
              <w:spacing w:after="40"/>
              <w:jc w:val="center"/>
            </w:pPr>
            <w:r>
              <w:rPr>
                <w:color w:val="B4B4B4"/>
                <w:sz w:val="19"/>
              </w:rPr>
              <w:t>░░░░░</w:t>
            </w:r>
          </w:p>
        </w:tc>
        <w:tc>
          <w:tcPr>
            <w:tcW w:type="dxa" w:w="1008"/>
            <w:shd w:fill="F9FAFC"/>
            <w:tcMar>
              <w:top w:w="80" w:type="dxa"/>
              <w:bottom w:w="80" w:type="dxa"/>
              <w:left w:w="60" w:type="dxa"/>
              <w:right w:w="60" w:type="dxa"/>
            </w:tcMar>
          </w:tcPr>
          <w:p>
            <w:pPr>
              <w:spacing w:after="40"/>
              <w:jc w:val="center"/>
            </w:pPr>
            <w:r>
              <w:rPr>
                <w:color w:val="B4B4B4"/>
                <w:sz w:val="19"/>
              </w:rPr>
              <w:t>░░░░░</w:t>
            </w:r>
          </w:p>
        </w:tc>
        <w:tc>
          <w:tcPr>
            <w:tcW w:type="dxa" w:w="1008"/>
            <w:shd w:fill="F9FAFC"/>
            <w:tcMar>
              <w:top w:w="80" w:type="dxa"/>
              <w:bottom w:w="80" w:type="dxa"/>
              <w:left w:w="60" w:type="dxa"/>
              <w:right w:w="60" w:type="dxa"/>
            </w:tcMar>
          </w:tcPr>
          <w:p>
            <w:pPr>
              <w:spacing w:after="40"/>
              <w:jc w:val="center"/>
            </w:pPr>
            <w:r>
              <w:rPr>
                <w:b/>
                <w:color w:val="0070D2"/>
                <w:sz w:val="19"/>
              </w:rPr>
              <w:t>█████</w:t>
            </w:r>
          </w:p>
        </w:tc>
        <w:tc>
          <w:tcPr>
            <w:tcW w:type="dxa" w:w="1008"/>
            <w:shd w:fill="F9FAFC"/>
            <w:tcMar>
              <w:top w:w="80" w:type="dxa"/>
              <w:bottom w:w="80" w:type="dxa"/>
              <w:left w:w="60" w:type="dxa"/>
              <w:right w:w="60" w:type="dxa"/>
            </w:tcMar>
          </w:tcPr>
          <w:p>
            <w:pPr>
              <w:spacing w:after="40"/>
              <w:jc w:val="center"/>
            </w:pPr>
            <w:r>
              <w:rPr>
                <w:b/>
                <w:color w:val="0070D2"/>
                <w:sz w:val="19"/>
              </w:rPr>
              <w:t>█████</w:t>
            </w:r>
          </w:p>
        </w:tc>
        <w:tc>
          <w:tcPr>
            <w:tcW w:type="dxa" w:w="1008"/>
            <w:shd w:fill="F9FAFC"/>
            <w:tcMar>
              <w:top w:w="80" w:type="dxa"/>
              <w:bottom w:w="80" w:type="dxa"/>
              <w:left w:w="60" w:type="dxa"/>
              <w:right w:w="60" w:type="dxa"/>
            </w:tcMar>
          </w:tcPr>
          <w:p>
            <w:pPr>
              <w:spacing w:after="40"/>
              <w:jc w:val="center"/>
            </w:pPr>
            <w:r>
              <w:rPr>
                <w:color w:val="B4B4B4"/>
                <w:sz w:val="19"/>
              </w:rPr>
              <w:t>░░░░░</w:t>
            </w:r>
          </w:p>
        </w:tc>
        <w:tc>
          <w:tcPr>
            <w:tcW w:type="dxa" w:w="1152"/>
            <w:shd w:fill="F9FAFC"/>
            <w:tcMar>
              <w:top w:w="80" w:type="dxa"/>
              <w:bottom w:w="80" w:type="dxa"/>
              <w:left w:w="60" w:type="dxa"/>
              <w:right w:w="60" w:type="dxa"/>
            </w:tcMar>
          </w:tcPr>
          <w:p>
            <w:pPr>
              <w:spacing w:after="40"/>
              <w:jc w:val="center"/>
            </w:pPr>
            <w:r>
              <w:rPr>
                <w:color w:val="B4B4B4"/>
                <w:sz w:val="19"/>
              </w:rPr>
              <w:t>░░░░░</w:t>
            </w:r>
          </w:p>
        </w:tc>
      </w:tr>
      <w:tr>
        <w:tc>
          <w:tcPr>
            <w:tcW w:type="dxa" w:w="3168"/>
            <w:shd w:fill="FFFFFF"/>
            <w:tcMar>
              <w:top w:w="80" w:type="dxa"/>
              <w:bottom w:w="80" w:type="dxa"/>
              <w:left w:w="60" w:type="dxa"/>
              <w:right w:w="60" w:type="dxa"/>
            </w:tcMar>
          </w:tcPr>
          <w:p>
            <w:pPr>
              <w:spacing w:after="40"/>
              <w:jc w:val="left"/>
            </w:pPr>
            <w:r>
              <w:rPr>
                <w:b/>
                <w:color w:val="00468C"/>
                <w:sz w:val="19"/>
              </w:rPr>
              <w:t>P4: Testing, ATC &amp; Fine-Tuning</w:t>
            </w:r>
          </w:p>
        </w:tc>
        <w:tc>
          <w:tcPr>
            <w:tcW w:type="dxa" w:w="1008"/>
            <w:shd w:fill="FFFFFF"/>
            <w:tcMar>
              <w:top w:w="80" w:type="dxa"/>
              <w:bottom w:w="80" w:type="dxa"/>
              <w:left w:w="60" w:type="dxa"/>
              <w:right w:w="60" w:type="dxa"/>
            </w:tcMar>
          </w:tcPr>
          <w:p>
            <w:pPr>
              <w:spacing w:after="40"/>
              <w:jc w:val="center"/>
            </w:pPr>
            <w:r>
              <w:rPr>
                <w:color w:val="B4B4B4"/>
                <w:sz w:val="19"/>
              </w:rPr>
              <w:t>░░░░░</w:t>
            </w:r>
          </w:p>
        </w:tc>
        <w:tc>
          <w:tcPr>
            <w:tcW w:type="dxa" w:w="1008"/>
            <w:shd w:fill="FFFFFF"/>
            <w:tcMar>
              <w:top w:w="80" w:type="dxa"/>
              <w:bottom w:w="80" w:type="dxa"/>
              <w:left w:w="60" w:type="dxa"/>
              <w:right w:w="60" w:type="dxa"/>
            </w:tcMar>
          </w:tcPr>
          <w:p>
            <w:pPr>
              <w:spacing w:after="40"/>
              <w:jc w:val="center"/>
            </w:pPr>
            <w:r>
              <w:rPr>
                <w:color w:val="B4B4B4"/>
                <w:sz w:val="19"/>
              </w:rPr>
              <w:t>░░░░░</w:t>
            </w:r>
          </w:p>
        </w:tc>
        <w:tc>
          <w:tcPr>
            <w:tcW w:type="dxa" w:w="1008"/>
            <w:shd w:fill="FFFFFF"/>
            <w:tcMar>
              <w:top w:w="80" w:type="dxa"/>
              <w:bottom w:w="80" w:type="dxa"/>
              <w:left w:w="60" w:type="dxa"/>
              <w:right w:w="60" w:type="dxa"/>
            </w:tcMar>
          </w:tcPr>
          <w:p>
            <w:pPr>
              <w:spacing w:after="40"/>
              <w:jc w:val="center"/>
            </w:pPr>
            <w:r>
              <w:rPr>
                <w:color w:val="B4B4B4"/>
                <w:sz w:val="19"/>
              </w:rPr>
              <w:t>░░░░░</w:t>
            </w:r>
          </w:p>
        </w:tc>
        <w:tc>
          <w:tcPr>
            <w:tcW w:type="dxa" w:w="1008"/>
            <w:shd w:fill="FFFFFF"/>
            <w:tcMar>
              <w:top w:w="80" w:type="dxa"/>
              <w:bottom w:w="80" w:type="dxa"/>
              <w:left w:w="60" w:type="dxa"/>
              <w:right w:w="60" w:type="dxa"/>
            </w:tcMar>
          </w:tcPr>
          <w:p>
            <w:pPr>
              <w:spacing w:after="40"/>
              <w:jc w:val="center"/>
            </w:pPr>
            <w:r>
              <w:rPr>
                <w:b/>
                <w:color w:val="0070D2"/>
                <w:sz w:val="19"/>
              </w:rPr>
              <w:t>█████</w:t>
            </w:r>
          </w:p>
        </w:tc>
        <w:tc>
          <w:tcPr>
            <w:tcW w:type="dxa" w:w="1008"/>
            <w:shd w:fill="FFFFFF"/>
            <w:tcMar>
              <w:top w:w="80" w:type="dxa"/>
              <w:bottom w:w="80" w:type="dxa"/>
              <w:left w:w="60" w:type="dxa"/>
              <w:right w:w="60" w:type="dxa"/>
            </w:tcMar>
          </w:tcPr>
          <w:p>
            <w:pPr>
              <w:spacing w:after="40"/>
              <w:jc w:val="center"/>
            </w:pPr>
            <w:r>
              <w:rPr>
                <w:b/>
                <w:color w:val="0070D2"/>
                <w:sz w:val="19"/>
              </w:rPr>
              <w:t>█████</w:t>
            </w:r>
          </w:p>
        </w:tc>
        <w:tc>
          <w:tcPr>
            <w:tcW w:type="dxa" w:w="1152"/>
            <w:shd w:fill="FFFFFF"/>
            <w:tcMar>
              <w:top w:w="80" w:type="dxa"/>
              <w:bottom w:w="80" w:type="dxa"/>
              <w:left w:w="60" w:type="dxa"/>
              <w:right w:w="60" w:type="dxa"/>
            </w:tcMar>
          </w:tcPr>
          <w:p>
            <w:pPr>
              <w:spacing w:after="40"/>
              <w:jc w:val="center"/>
            </w:pPr>
            <w:r>
              <w:rPr>
                <w:color w:val="B4B4B4"/>
                <w:sz w:val="19"/>
              </w:rPr>
              <w:t>░░░░░</w:t>
            </w:r>
          </w:p>
        </w:tc>
      </w:tr>
      <w:tr>
        <w:tc>
          <w:tcPr>
            <w:tcW w:type="dxa" w:w="3168"/>
            <w:shd w:fill="F9FAFC"/>
            <w:tcMar>
              <w:top w:w="80" w:type="dxa"/>
              <w:bottom w:w="80" w:type="dxa"/>
              <w:left w:w="60" w:type="dxa"/>
              <w:right w:w="60" w:type="dxa"/>
            </w:tcMar>
          </w:tcPr>
          <w:p>
            <w:pPr>
              <w:spacing w:after="40"/>
              <w:jc w:val="left"/>
            </w:pPr>
            <w:r>
              <w:rPr>
                <w:b/>
                <w:color w:val="00468C"/>
                <w:sz w:val="19"/>
              </w:rPr>
              <w:t>P5: Pilot Execution &amp; Final Readout</w:t>
            </w:r>
          </w:p>
        </w:tc>
        <w:tc>
          <w:tcPr>
            <w:tcW w:type="dxa" w:w="1008"/>
            <w:shd w:fill="F9FAFC"/>
            <w:tcMar>
              <w:top w:w="80" w:type="dxa"/>
              <w:bottom w:w="80" w:type="dxa"/>
              <w:left w:w="60" w:type="dxa"/>
              <w:right w:w="60" w:type="dxa"/>
            </w:tcMar>
          </w:tcPr>
          <w:p>
            <w:pPr>
              <w:spacing w:after="40"/>
              <w:jc w:val="center"/>
            </w:pPr>
            <w:r>
              <w:rPr>
                <w:color w:val="B4B4B4"/>
                <w:sz w:val="19"/>
              </w:rPr>
              <w:t>░░░░░</w:t>
            </w:r>
          </w:p>
        </w:tc>
        <w:tc>
          <w:tcPr>
            <w:tcW w:type="dxa" w:w="1008"/>
            <w:shd w:fill="F9FAFC"/>
            <w:tcMar>
              <w:top w:w="80" w:type="dxa"/>
              <w:bottom w:w="80" w:type="dxa"/>
              <w:left w:w="60" w:type="dxa"/>
              <w:right w:w="60" w:type="dxa"/>
            </w:tcMar>
          </w:tcPr>
          <w:p>
            <w:pPr>
              <w:spacing w:after="40"/>
              <w:jc w:val="center"/>
            </w:pPr>
            <w:r>
              <w:rPr>
                <w:color w:val="B4B4B4"/>
                <w:sz w:val="19"/>
              </w:rPr>
              <w:t>░░░░░</w:t>
            </w:r>
          </w:p>
        </w:tc>
        <w:tc>
          <w:tcPr>
            <w:tcW w:type="dxa" w:w="1008"/>
            <w:shd w:fill="F9FAFC"/>
            <w:tcMar>
              <w:top w:w="80" w:type="dxa"/>
              <w:bottom w:w="80" w:type="dxa"/>
              <w:left w:w="60" w:type="dxa"/>
              <w:right w:w="60" w:type="dxa"/>
            </w:tcMar>
          </w:tcPr>
          <w:p>
            <w:pPr>
              <w:spacing w:after="40"/>
              <w:jc w:val="center"/>
            </w:pPr>
            <w:r>
              <w:rPr>
                <w:color w:val="B4B4B4"/>
                <w:sz w:val="19"/>
              </w:rPr>
              <w:t>░░░░░</w:t>
            </w:r>
          </w:p>
        </w:tc>
        <w:tc>
          <w:tcPr>
            <w:tcW w:type="dxa" w:w="1008"/>
            <w:shd w:fill="F9FAFC"/>
            <w:tcMar>
              <w:top w:w="80" w:type="dxa"/>
              <w:bottom w:w="80" w:type="dxa"/>
              <w:left w:w="60" w:type="dxa"/>
              <w:right w:w="60" w:type="dxa"/>
            </w:tcMar>
          </w:tcPr>
          <w:p>
            <w:pPr>
              <w:spacing w:after="40"/>
              <w:jc w:val="center"/>
            </w:pPr>
            <w:r>
              <w:rPr>
                <w:color w:val="B4B4B4"/>
                <w:sz w:val="19"/>
              </w:rPr>
              <w:t>░░░░░</w:t>
            </w:r>
          </w:p>
        </w:tc>
        <w:tc>
          <w:tcPr>
            <w:tcW w:type="dxa" w:w="1008"/>
            <w:shd w:fill="F9FAFC"/>
            <w:tcMar>
              <w:top w:w="80" w:type="dxa"/>
              <w:bottom w:w="80" w:type="dxa"/>
              <w:left w:w="60" w:type="dxa"/>
              <w:right w:w="60" w:type="dxa"/>
            </w:tcMar>
          </w:tcPr>
          <w:p>
            <w:pPr>
              <w:spacing w:after="40"/>
              <w:jc w:val="center"/>
            </w:pPr>
            <w:r>
              <w:rPr>
                <w:color w:val="B4B4B4"/>
                <w:sz w:val="19"/>
              </w:rPr>
              <w:t>░░░░░</w:t>
            </w:r>
          </w:p>
        </w:tc>
        <w:tc>
          <w:tcPr>
            <w:tcW w:type="dxa" w:w="1152"/>
            <w:shd w:fill="F9FAFC"/>
            <w:tcMar>
              <w:top w:w="80" w:type="dxa"/>
              <w:bottom w:w="80" w:type="dxa"/>
              <w:left w:w="60" w:type="dxa"/>
              <w:right w:w="60" w:type="dxa"/>
            </w:tcMar>
          </w:tcPr>
          <w:p>
            <w:pPr>
              <w:spacing w:after="40"/>
              <w:jc w:val="center"/>
            </w:pPr>
            <w:r>
              <w:rPr>
                <w:b/>
                <w:color w:val="0070D2"/>
                <w:sz w:val="19"/>
              </w:rPr>
              <w:t>█████</w:t>
            </w:r>
          </w:p>
        </w:tc>
      </w:tr>
    </w:tbl>
    <w:p>
      <w:pPr>
        <w:spacing w:after="120"/>
      </w:pPr>
    </w:p>
    <w:p>
      <w:pPr>
        <w:keepNext/>
        <w:spacing w:before="240" w:after="80"/>
      </w:pPr>
      <w:r>
        <w:rPr>
          <w:rFonts w:ascii="Calibri" w:hAnsi="Calibri"/>
          <w:b/>
          <w:color w:val="285A8C"/>
          <w:sz w:val="26"/>
        </w:rPr>
        <w:t>5.3 Key Strategic Milestones</w:t>
      </w:r>
    </w:p>
    <w:p>
      <w:pPr>
        <w:pStyle w:val="ListBullet"/>
        <w:spacing w:before="0" w:after="60" w:line="276" w:lineRule="auto"/>
      </w:pPr>
      <w:r>
        <w:rPr>
          <w:rFonts w:ascii="Calibri" w:hAnsi="Calibri"/>
          <w:b/>
          <w:color w:val="1E1E1E"/>
          <w:sz w:val="22"/>
        </w:rPr>
        <w:t xml:space="preserve">Milestone M1 (End of Week 2): </w:t>
      </w:r>
      <w:r>
        <w:rPr>
          <w:rFonts w:ascii="Calibri" w:hAnsi="Calibri"/>
          <w:color w:val="3C3C3C"/>
          <w:sz w:val="22"/>
        </w:rPr>
        <w:t>Architecture Sign-off &amp; SAP BTP Environment Provisioned.</w:t>
      </w:r>
    </w:p>
    <w:p>
      <w:pPr>
        <w:pStyle w:val="ListBullet"/>
        <w:spacing w:before="0" w:after="60" w:line="276" w:lineRule="auto"/>
      </w:pPr>
      <w:r>
        <w:rPr>
          <w:rFonts w:ascii="Calibri" w:hAnsi="Calibri"/>
          <w:b/>
          <w:color w:val="1E1E1E"/>
          <w:sz w:val="22"/>
        </w:rPr>
        <w:t xml:space="preserve">Milestone M2 (End of Week 5): </w:t>
      </w:r>
      <w:r>
        <w:rPr>
          <w:rFonts w:ascii="Calibri" w:hAnsi="Calibri"/>
          <w:color w:val="3C3C3C"/>
          <w:sz w:val="22"/>
        </w:rPr>
        <w:t>ABAP 7.5+ RAG Vector Store Built &amp; Indexed (&gt;10,000 keyword &amp; pattern vectors).</w:t>
      </w:r>
    </w:p>
    <w:p>
      <w:pPr>
        <w:pStyle w:val="ListBullet"/>
        <w:spacing w:before="0" w:after="60" w:line="276" w:lineRule="auto"/>
      </w:pPr>
      <w:r>
        <w:rPr>
          <w:rFonts w:ascii="Calibri" w:hAnsi="Calibri"/>
          <w:b/>
          <w:color w:val="1E1E1E"/>
          <w:sz w:val="22"/>
        </w:rPr>
        <w:t xml:space="preserve">Milestone M3 (End of Week 8): </w:t>
      </w:r>
      <w:r>
        <w:rPr>
          <w:rFonts w:ascii="Calibri" w:hAnsi="Calibri"/>
          <w:color w:val="3C3C3C"/>
          <w:sz w:val="22"/>
        </w:rPr>
        <w:t>Eclipse ADT &amp; VS Code Plugins Functioning with Low-Latency Completion (&lt;1.5s).</w:t>
      </w:r>
    </w:p>
    <w:p>
      <w:pPr>
        <w:pStyle w:val="ListBullet"/>
        <w:spacing w:before="0" w:after="60" w:line="276" w:lineRule="auto"/>
      </w:pPr>
      <w:r>
        <w:rPr>
          <w:rFonts w:ascii="Calibri" w:hAnsi="Calibri"/>
          <w:b/>
          <w:color w:val="1E1E1E"/>
          <w:sz w:val="22"/>
        </w:rPr>
        <w:t xml:space="preserve">Milestone M4 (End of Week 10): </w:t>
      </w:r>
      <w:r>
        <w:rPr>
          <w:rFonts w:ascii="Calibri" w:hAnsi="Calibri"/>
          <w:color w:val="3C3C3C"/>
          <w:sz w:val="22"/>
        </w:rPr>
        <w:t>ATC Syntax Validation &amp; ABAP Unit Generator Fully Integrated via RFC.</w:t>
      </w:r>
    </w:p>
    <w:p>
      <w:pPr>
        <w:pStyle w:val="ListBullet"/>
        <w:spacing w:before="0" w:after="60" w:line="276" w:lineRule="auto"/>
      </w:pPr>
      <w:r>
        <w:rPr>
          <w:rFonts w:ascii="Calibri" w:hAnsi="Calibri"/>
          <w:b/>
          <w:color w:val="1E1E1E"/>
          <w:sz w:val="22"/>
        </w:rPr>
        <w:t xml:space="preserve">Milestone M5 (End of Week 12): </w:t>
      </w:r>
      <w:r>
        <w:rPr>
          <w:rFonts w:ascii="Calibri" w:hAnsi="Calibri"/>
          <w:color w:val="3C3C3C"/>
          <w:sz w:val="22"/>
        </w:rPr>
        <w:t>Pilot Phase Completed with &gt;85% Positive Developer Satisfaction &amp; Final Executive Readout.</w:t>
      </w:r>
    </w:p>
    <w:p>
      <w:pPr>
        <w:keepNext/>
        <w:spacing w:before="360" w:after="120"/>
      </w:pPr>
      <w:r>
        <w:rPr>
          <w:rFonts w:ascii="Calibri" w:hAnsi="Calibri"/>
          <w:b/>
          <w:color w:val="0050A0"/>
          <w:sz w:val="32"/>
        </w:rPr>
        <w:t>6. Comprehensive Risk Assessment &amp; Mitigation Framework</w:t>
      </w:r>
    </w:p>
    <w:p>
      <w:pPr>
        <w:spacing w:before="0" w:after="120" w:line="276" w:lineRule="auto"/>
      </w:pPr>
      <w:r>
        <w:rPr>
          <w:rFonts w:ascii="Calibri" w:hAnsi="Calibri"/>
          <w:color w:val="323232"/>
          <w:sz w:val="22"/>
        </w:rPr>
        <w:t>Operating an AI assistant within an enterprise SAP landscape entails specific technical, operational, security, and compliance risks. The risk management matrix below defines likelihood, impact, and actionable mitigation strategies.</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005A9C"/>
            <w:tcMar>
              <w:top w:w="120" w:type="dxa"/>
              <w:bottom w:w="120" w:type="dxa"/>
              <w:left w:w="120" w:type="dxa"/>
              <w:right w:w="120" w:type="dxa"/>
            </w:tcMar>
          </w:tcPr>
          <w:p>
            <w:pPr>
              <w:jc w:val="left"/>
            </w:pPr>
            <w:r>
              <w:rPr>
                <w:rFonts w:ascii="Calibri" w:hAnsi="Calibri"/>
                <w:b/>
                <w:color w:val="FFFFFF"/>
                <w:sz w:val="20"/>
              </w:rPr>
              <w:t>Risk Category</w:t>
            </w:r>
          </w:p>
        </w:tc>
        <w:tc>
          <w:tcPr>
            <w:tcW w:type="dxa" w:w="1728"/>
            <w:shd w:fill="005A9C"/>
            <w:tcMar>
              <w:top w:w="120" w:type="dxa"/>
              <w:bottom w:w="120" w:type="dxa"/>
              <w:left w:w="120" w:type="dxa"/>
              <w:right w:w="120" w:type="dxa"/>
            </w:tcMar>
          </w:tcPr>
          <w:p>
            <w:pPr>
              <w:jc w:val="left"/>
            </w:pPr>
            <w:r>
              <w:rPr>
                <w:rFonts w:ascii="Calibri" w:hAnsi="Calibri"/>
                <w:b/>
                <w:color w:val="FFFFFF"/>
                <w:sz w:val="20"/>
              </w:rPr>
              <w:t>Specific Risk Description</w:t>
            </w:r>
          </w:p>
        </w:tc>
        <w:tc>
          <w:tcPr>
            <w:tcW w:type="dxa" w:w="1152"/>
            <w:shd w:fill="005A9C"/>
            <w:tcMar>
              <w:top w:w="120" w:type="dxa"/>
              <w:bottom w:w="120" w:type="dxa"/>
              <w:left w:w="120" w:type="dxa"/>
              <w:right w:w="120" w:type="dxa"/>
            </w:tcMar>
          </w:tcPr>
          <w:p>
            <w:pPr>
              <w:jc w:val="left"/>
            </w:pPr>
            <w:r>
              <w:rPr>
                <w:rFonts w:ascii="Calibri" w:hAnsi="Calibri"/>
                <w:b/>
                <w:color w:val="FFFFFF"/>
                <w:sz w:val="20"/>
              </w:rPr>
              <w:t>Likelihood</w:t>
            </w:r>
          </w:p>
        </w:tc>
        <w:tc>
          <w:tcPr>
            <w:tcW w:type="dxa" w:w="1152"/>
            <w:shd w:fill="005A9C"/>
            <w:tcMar>
              <w:top w:w="120" w:type="dxa"/>
              <w:bottom w:w="120" w:type="dxa"/>
              <w:left w:w="120" w:type="dxa"/>
              <w:right w:w="120" w:type="dxa"/>
            </w:tcMar>
          </w:tcPr>
          <w:p>
            <w:pPr>
              <w:jc w:val="left"/>
            </w:pPr>
            <w:r>
              <w:rPr>
                <w:rFonts w:ascii="Calibri" w:hAnsi="Calibri"/>
                <w:b/>
                <w:color w:val="FFFFFF"/>
                <w:sz w:val="20"/>
              </w:rPr>
              <w:t>Impact</w:t>
            </w:r>
          </w:p>
        </w:tc>
        <w:tc>
          <w:tcPr>
            <w:tcW w:type="dxa" w:w="3168"/>
            <w:shd w:fill="005A9C"/>
            <w:tcMar>
              <w:top w:w="120" w:type="dxa"/>
              <w:bottom w:w="120" w:type="dxa"/>
              <w:left w:w="120" w:type="dxa"/>
              <w:right w:w="120" w:type="dxa"/>
            </w:tcMar>
          </w:tcPr>
          <w:p>
            <w:pPr>
              <w:jc w:val="left"/>
            </w:pPr>
            <w:r>
              <w:rPr>
                <w:rFonts w:ascii="Calibri" w:hAnsi="Calibri"/>
                <w:b/>
                <w:color w:val="FFFFFF"/>
                <w:sz w:val="20"/>
              </w:rPr>
              <w:t>Mitigation Strategy</w:t>
            </w:r>
          </w:p>
        </w:tc>
      </w:tr>
      <w:tr>
        <w:tc>
          <w:tcPr>
            <w:tcW w:type="dxa" w:w="2160"/>
            <w:shd w:fill="F9FAFC"/>
            <w:tcMar>
              <w:top w:w="80" w:type="dxa"/>
              <w:bottom w:w="80" w:type="dxa"/>
              <w:left w:w="80" w:type="dxa"/>
              <w:right w:w="80" w:type="dxa"/>
            </w:tcMar>
          </w:tcPr>
          <w:p>
            <w:pPr>
              <w:spacing w:after="40"/>
            </w:pPr>
            <w:r>
              <w:rPr>
                <w:b/>
                <w:color w:val="00468C"/>
                <w:sz w:val="18"/>
              </w:rPr>
              <w:t>IP &amp; Security</w:t>
            </w:r>
          </w:p>
        </w:tc>
        <w:tc>
          <w:tcPr>
            <w:tcW w:type="dxa" w:w="1728"/>
            <w:shd w:fill="F9FAFC"/>
            <w:tcMar>
              <w:top w:w="80" w:type="dxa"/>
              <w:bottom w:w="80" w:type="dxa"/>
              <w:left w:w="80" w:type="dxa"/>
              <w:right w:w="80" w:type="dxa"/>
            </w:tcMar>
          </w:tcPr>
          <w:p>
            <w:pPr>
              <w:spacing w:after="40"/>
            </w:pPr>
            <w:r>
              <w:rPr>
                <w:color w:val="323232"/>
                <w:sz w:val="18"/>
              </w:rPr>
              <w:t>Exposure of proprietary SAP ABAP code or business data to external public cloud LLMs.</w:t>
            </w:r>
          </w:p>
        </w:tc>
        <w:tc>
          <w:tcPr>
            <w:tcW w:type="dxa" w:w="1152"/>
            <w:shd w:fill="F9FAFC"/>
            <w:tcMar>
              <w:top w:w="80" w:type="dxa"/>
              <w:bottom w:w="80" w:type="dxa"/>
              <w:left w:w="80" w:type="dxa"/>
              <w:right w:w="80" w:type="dxa"/>
            </w:tcMar>
          </w:tcPr>
          <w:p>
            <w:pPr>
              <w:spacing w:after="40"/>
            </w:pPr>
            <w:r>
              <w:rPr>
                <w:b/>
                <w:color w:val="B46400"/>
                <w:sz w:val="18"/>
              </w:rPr>
              <w:t>Medium</w:t>
            </w:r>
          </w:p>
        </w:tc>
        <w:tc>
          <w:tcPr>
            <w:tcW w:type="dxa" w:w="1152"/>
            <w:shd w:fill="F9FAFC"/>
            <w:tcMar>
              <w:top w:w="80" w:type="dxa"/>
              <w:bottom w:w="80" w:type="dxa"/>
              <w:left w:w="80" w:type="dxa"/>
              <w:right w:w="80" w:type="dxa"/>
            </w:tcMar>
          </w:tcPr>
          <w:p>
            <w:pPr>
              <w:spacing w:after="40"/>
            </w:pPr>
            <w:r>
              <w:rPr>
                <w:b/>
                <w:color w:val="B40000"/>
                <w:sz w:val="18"/>
              </w:rPr>
              <w:t>High</w:t>
            </w:r>
          </w:p>
        </w:tc>
        <w:tc>
          <w:tcPr>
            <w:tcW w:type="dxa" w:w="3168"/>
            <w:shd w:fill="F9FAFC"/>
            <w:tcMar>
              <w:top w:w="80" w:type="dxa"/>
              <w:bottom w:w="80" w:type="dxa"/>
              <w:left w:w="80" w:type="dxa"/>
              <w:right w:w="80" w:type="dxa"/>
            </w:tcMar>
          </w:tcPr>
          <w:p>
            <w:pPr>
              <w:spacing w:after="40"/>
            </w:pPr>
            <w:r>
              <w:rPr>
                <w:color w:val="323232"/>
                <w:sz w:val="18"/>
              </w:rPr>
              <w:t>Deploy isolated Azure OpenAI / SAP BTP AI Core tenant with strict zero-data-retention policy and local PII masking gateway.</w:t>
            </w:r>
          </w:p>
        </w:tc>
      </w:tr>
      <w:tr>
        <w:tc>
          <w:tcPr>
            <w:tcW w:type="dxa" w:w="2160"/>
            <w:shd w:fill="FFFFFF"/>
            <w:tcMar>
              <w:top w:w="80" w:type="dxa"/>
              <w:bottom w:w="80" w:type="dxa"/>
              <w:left w:w="80" w:type="dxa"/>
              <w:right w:w="80" w:type="dxa"/>
            </w:tcMar>
          </w:tcPr>
          <w:p>
            <w:pPr>
              <w:spacing w:after="40"/>
            </w:pPr>
            <w:r>
              <w:rPr>
                <w:b/>
                <w:color w:val="00468C"/>
                <w:sz w:val="18"/>
              </w:rPr>
              <w:t>Hallucination</w:t>
            </w:r>
          </w:p>
        </w:tc>
        <w:tc>
          <w:tcPr>
            <w:tcW w:type="dxa" w:w="1728"/>
            <w:shd w:fill="FFFFFF"/>
            <w:tcMar>
              <w:top w:w="80" w:type="dxa"/>
              <w:bottom w:w="80" w:type="dxa"/>
              <w:left w:w="80" w:type="dxa"/>
              <w:right w:w="80" w:type="dxa"/>
            </w:tcMar>
          </w:tcPr>
          <w:p>
            <w:pPr>
              <w:spacing w:after="40"/>
            </w:pPr>
            <w:r>
              <w:rPr>
                <w:color w:val="323232"/>
                <w:sz w:val="18"/>
              </w:rPr>
              <w:t>LLM generates obsolete ABAP syntax (e.g., TABLES statement) or non-existent BAPIs.</w:t>
            </w:r>
          </w:p>
        </w:tc>
        <w:tc>
          <w:tcPr>
            <w:tcW w:type="dxa" w:w="1152"/>
            <w:shd w:fill="FFFFFF"/>
            <w:tcMar>
              <w:top w:w="80" w:type="dxa"/>
              <w:bottom w:w="80" w:type="dxa"/>
              <w:left w:w="80" w:type="dxa"/>
              <w:right w:w="80" w:type="dxa"/>
            </w:tcMar>
          </w:tcPr>
          <w:p>
            <w:pPr>
              <w:spacing w:after="40"/>
            </w:pPr>
            <w:r>
              <w:rPr>
                <w:b/>
                <w:color w:val="B40000"/>
                <w:sz w:val="18"/>
              </w:rPr>
              <w:t>High</w:t>
            </w:r>
          </w:p>
        </w:tc>
        <w:tc>
          <w:tcPr>
            <w:tcW w:type="dxa" w:w="1152"/>
            <w:shd w:fill="FFFFFF"/>
            <w:tcMar>
              <w:top w:w="80" w:type="dxa"/>
              <w:bottom w:w="80" w:type="dxa"/>
              <w:left w:w="80" w:type="dxa"/>
              <w:right w:w="80" w:type="dxa"/>
            </w:tcMar>
          </w:tcPr>
          <w:p>
            <w:pPr>
              <w:spacing w:after="40"/>
            </w:pPr>
            <w:r>
              <w:rPr>
                <w:b/>
                <w:color w:val="B40000"/>
                <w:sz w:val="18"/>
              </w:rPr>
              <w:t>High</w:t>
            </w:r>
          </w:p>
        </w:tc>
        <w:tc>
          <w:tcPr>
            <w:tcW w:type="dxa" w:w="3168"/>
            <w:shd w:fill="FFFFFF"/>
            <w:tcMar>
              <w:top w:w="80" w:type="dxa"/>
              <w:bottom w:w="80" w:type="dxa"/>
              <w:left w:w="80" w:type="dxa"/>
              <w:right w:w="80" w:type="dxa"/>
            </w:tcMar>
          </w:tcPr>
          <w:p>
            <w:pPr>
              <w:spacing w:after="40"/>
            </w:pPr>
            <w:r>
              <w:rPr>
                <w:color w:val="323232"/>
                <w:sz w:val="18"/>
              </w:rPr>
              <w:t>Implement RAG with ABAP 7.5+ ruleset and enforce background SAP RFC syntax check (`SYNTAX-CHECK`) prior to displaying code.</w:t>
            </w:r>
          </w:p>
        </w:tc>
      </w:tr>
      <w:tr>
        <w:tc>
          <w:tcPr>
            <w:tcW w:type="dxa" w:w="2160"/>
            <w:shd w:fill="F9FAFC"/>
            <w:tcMar>
              <w:top w:w="80" w:type="dxa"/>
              <w:bottom w:w="80" w:type="dxa"/>
              <w:left w:w="80" w:type="dxa"/>
              <w:right w:w="80" w:type="dxa"/>
            </w:tcMar>
          </w:tcPr>
          <w:p>
            <w:pPr>
              <w:spacing w:after="40"/>
            </w:pPr>
            <w:r>
              <w:rPr>
                <w:b/>
                <w:color w:val="00468C"/>
                <w:sz w:val="18"/>
              </w:rPr>
              <w:t>Version Mismatch</w:t>
            </w:r>
          </w:p>
        </w:tc>
        <w:tc>
          <w:tcPr>
            <w:tcW w:type="dxa" w:w="1728"/>
            <w:shd w:fill="F9FAFC"/>
            <w:tcMar>
              <w:top w:w="80" w:type="dxa"/>
              <w:bottom w:w="80" w:type="dxa"/>
              <w:left w:w="80" w:type="dxa"/>
              <w:right w:w="80" w:type="dxa"/>
            </w:tcMar>
          </w:tcPr>
          <w:p>
            <w:pPr>
              <w:spacing w:after="40"/>
            </w:pPr>
            <w:r>
              <w:rPr>
                <w:color w:val="323232"/>
                <w:sz w:val="18"/>
              </w:rPr>
              <w:t>Code suggestions optimized for SAP S/4HANA fail on legacy SAP ECC 6.0 system.</w:t>
            </w:r>
          </w:p>
        </w:tc>
        <w:tc>
          <w:tcPr>
            <w:tcW w:type="dxa" w:w="1152"/>
            <w:shd w:fill="F9FAFC"/>
            <w:tcMar>
              <w:top w:w="80" w:type="dxa"/>
              <w:bottom w:w="80" w:type="dxa"/>
              <w:left w:w="80" w:type="dxa"/>
              <w:right w:w="80" w:type="dxa"/>
            </w:tcMar>
          </w:tcPr>
          <w:p>
            <w:pPr>
              <w:spacing w:after="40"/>
            </w:pPr>
            <w:r>
              <w:rPr>
                <w:b/>
                <w:color w:val="B40000"/>
                <w:sz w:val="18"/>
              </w:rPr>
              <w:t>High</w:t>
            </w:r>
          </w:p>
        </w:tc>
        <w:tc>
          <w:tcPr>
            <w:tcW w:type="dxa" w:w="1152"/>
            <w:shd w:fill="F9FAFC"/>
            <w:tcMar>
              <w:top w:w="80" w:type="dxa"/>
              <w:bottom w:w="80" w:type="dxa"/>
              <w:left w:w="80" w:type="dxa"/>
              <w:right w:w="80" w:type="dxa"/>
            </w:tcMar>
          </w:tcPr>
          <w:p>
            <w:pPr>
              <w:spacing w:after="40"/>
            </w:pPr>
            <w:r>
              <w:rPr>
                <w:b/>
                <w:color w:val="B46400"/>
                <w:sz w:val="18"/>
              </w:rPr>
              <w:t>Medium</w:t>
            </w:r>
          </w:p>
        </w:tc>
        <w:tc>
          <w:tcPr>
            <w:tcW w:type="dxa" w:w="3168"/>
            <w:shd w:fill="F9FAFC"/>
            <w:tcMar>
              <w:top w:w="80" w:type="dxa"/>
              <w:bottom w:w="80" w:type="dxa"/>
              <w:left w:w="80" w:type="dxa"/>
              <w:right w:w="80" w:type="dxa"/>
            </w:tcMar>
          </w:tcPr>
          <w:p>
            <w:pPr>
              <w:spacing w:after="40"/>
            </w:pPr>
            <w:r>
              <w:rPr>
                <w:color w:val="323232"/>
                <w:sz w:val="18"/>
              </w:rPr>
              <w:t>Inject target SAP release version (e.g., ABAP 7.40 vs 7.55) into LLM system prompt context dynamically.</w:t>
            </w:r>
          </w:p>
        </w:tc>
      </w:tr>
      <w:tr>
        <w:tc>
          <w:tcPr>
            <w:tcW w:type="dxa" w:w="2160"/>
            <w:shd w:fill="FFFFFF"/>
            <w:tcMar>
              <w:top w:w="80" w:type="dxa"/>
              <w:bottom w:w="80" w:type="dxa"/>
              <w:left w:w="80" w:type="dxa"/>
              <w:right w:w="80" w:type="dxa"/>
            </w:tcMar>
          </w:tcPr>
          <w:p>
            <w:pPr>
              <w:spacing w:after="40"/>
            </w:pPr>
            <w:r>
              <w:rPr>
                <w:b/>
                <w:color w:val="00468C"/>
                <w:sz w:val="18"/>
              </w:rPr>
              <w:t>Latency Bottleneck</w:t>
            </w:r>
          </w:p>
        </w:tc>
        <w:tc>
          <w:tcPr>
            <w:tcW w:type="dxa" w:w="1728"/>
            <w:shd w:fill="FFFFFF"/>
            <w:tcMar>
              <w:top w:w="80" w:type="dxa"/>
              <w:bottom w:w="80" w:type="dxa"/>
              <w:left w:w="80" w:type="dxa"/>
              <w:right w:w="80" w:type="dxa"/>
            </w:tcMar>
          </w:tcPr>
          <w:p>
            <w:pPr>
              <w:spacing w:after="40"/>
            </w:pPr>
            <w:r>
              <w:rPr>
                <w:color w:val="323232"/>
                <w:sz w:val="18"/>
              </w:rPr>
              <w:t>RAG vector lookup and LLM inference cause developer IDE lag exceeding 3 seconds.</w:t>
            </w:r>
          </w:p>
        </w:tc>
        <w:tc>
          <w:tcPr>
            <w:tcW w:type="dxa" w:w="1152"/>
            <w:shd w:fill="FFFFFF"/>
            <w:tcMar>
              <w:top w:w="80" w:type="dxa"/>
              <w:bottom w:w="80" w:type="dxa"/>
              <w:left w:w="80" w:type="dxa"/>
              <w:right w:w="80" w:type="dxa"/>
            </w:tcMar>
          </w:tcPr>
          <w:p>
            <w:pPr>
              <w:spacing w:after="40"/>
            </w:pPr>
            <w:r>
              <w:rPr>
                <w:b/>
                <w:color w:val="B46400"/>
                <w:sz w:val="18"/>
              </w:rPr>
              <w:t>Medium</w:t>
            </w:r>
          </w:p>
        </w:tc>
        <w:tc>
          <w:tcPr>
            <w:tcW w:type="dxa" w:w="1152"/>
            <w:shd w:fill="FFFFFF"/>
            <w:tcMar>
              <w:top w:w="80" w:type="dxa"/>
              <w:bottom w:w="80" w:type="dxa"/>
              <w:left w:w="80" w:type="dxa"/>
              <w:right w:w="80" w:type="dxa"/>
            </w:tcMar>
          </w:tcPr>
          <w:p>
            <w:pPr>
              <w:spacing w:after="40"/>
            </w:pPr>
            <w:r>
              <w:rPr>
                <w:b/>
                <w:color w:val="B46400"/>
                <w:sz w:val="18"/>
              </w:rPr>
              <w:t>Medium</w:t>
            </w:r>
          </w:p>
        </w:tc>
        <w:tc>
          <w:tcPr>
            <w:tcW w:type="dxa" w:w="3168"/>
            <w:shd w:fill="FFFFFF"/>
            <w:tcMar>
              <w:top w:w="80" w:type="dxa"/>
              <w:bottom w:w="80" w:type="dxa"/>
              <w:left w:w="80" w:type="dxa"/>
              <w:right w:w="80" w:type="dxa"/>
            </w:tcMar>
          </w:tcPr>
          <w:p>
            <w:pPr>
              <w:spacing w:after="40"/>
            </w:pPr>
            <w:r>
              <w:rPr>
                <w:color w:val="323232"/>
                <w:sz w:val="18"/>
              </w:rPr>
              <w:t>Utilize speculative decoding, local vector caching, and async gRPC streaming for inline code completion.</w:t>
            </w:r>
          </w:p>
        </w:tc>
      </w:tr>
      <w:tr>
        <w:tc>
          <w:tcPr>
            <w:tcW w:type="dxa" w:w="2160"/>
            <w:shd w:fill="F9FAFC"/>
            <w:tcMar>
              <w:top w:w="80" w:type="dxa"/>
              <w:bottom w:w="80" w:type="dxa"/>
              <w:left w:w="80" w:type="dxa"/>
              <w:right w:w="80" w:type="dxa"/>
            </w:tcMar>
          </w:tcPr>
          <w:p>
            <w:pPr>
              <w:spacing w:after="40"/>
            </w:pPr>
            <w:r>
              <w:rPr>
                <w:b/>
                <w:color w:val="00468C"/>
                <w:sz w:val="18"/>
              </w:rPr>
              <w:t>Developer Trust</w:t>
            </w:r>
          </w:p>
        </w:tc>
        <w:tc>
          <w:tcPr>
            <w:tcW w:type="dxa" w:w="1728"/>
            <w:shd w:fill="F9FAFC"/>
            <w:tcMar>
              <w:top w:w="80" w:type="dxa"/>
              <w:bottom w:w="80" w:type="dxa"/>
              <w:left w:w="80" w:type="dxa"/>
              <w:right w:w="80" w:type="dxa"/>
            </w:tcMar>
          </w:tcPr>
          <w:p>
            <w:pPr>
              <w:spacing w:after="40"/>
            </w:pPr>
            <w:r>
              <w:rPr>
                <w:color w:val="323232"/>
                <w:sz w:val="18"/>
              </w:rPr>
              <w:t>Developers reject AI suggestions due to inaccurate formatting or lack of Clean ABAP style.</w:t>
            </w:r>
          </w:p>
        </w:tc>
        <w:tc>
          <w:tcPr>
            <w:tcW w:type="dxa" w:w="1152"/>
            <w:shd w:fill="F9FAFC"/>
            <w:tcMar>
              <w:top w:w="80" w:type="dxa"/>
              <w:bottom w:w="80" w:type="dxa"/>
              <w:left w:w="80" w:type="dxa"/>
              <w:right w:w="80" w:type="dxa"/>
            </w:tcMar>
          </w:tcPr>
          <w:p>
            <w:pPr>
              <w:spacing w:after="40"/>
            </w:pPr>
            <w:r>
              <w:rPr>
                <w:b/>
                <w:color w:val="B46400"/>
                <w:sz w:val="18"/>
              </w:rPr>
              <w:t>Medium</w:t>
            </w:r>
          </w:p>
        </w:tc>
        <w:tc>
          <w:tcPr>
            <w:tcW w:type="dxa" w:w="1152"/>
            <w:shd w:fill="F9FAFC"/>
            <w:tcMar>
              <w:top w:w="80" w:type="dxa"/>
              <w:bottom w:w="80" w:type="dxa"/>
              <w:left w:w="80" w:type="dxa"/>
              <w:right w:w="80" w:type="dxa"/>
            </w:tcMar>
          </w:tcPr>
          <w:p>
            <w:pPr>
              <w:spacing w:after="40"/>
            </w:pPr>
            <w:r>
              <w:rPr>
                <w:b/>
                <w:color w:val="B40000"/>
                <w:sz w:val="18"/>
              </w:rPr>
              <w:t>High</w:t>
            </w:r>
          </w:p>
        </w:tc>
        <w:tc>
          <w:tcPr>
            <w:tcW w:type="dxa" w:w="3168"/>
            <w:shd w:fill="F9FAFC"/>
            <w:tcMar>
              <w:top w:w="80" w:type="dxa"/>
              <w:bottom w:w="80" w:type="dxa"/>
              <w:left w:w="80" w:type="dxa"/>
              <w:right w:w="80" w:type="dxa"/>
            </w:tcMar>
          </w:tcPr>
          <w:p>
            <w:pPr>
              <w:spacing w:after="40"/>
            </w:pPr>
            <w:r>
              <w:rPr>
                <w:color w:val="323232"/>
                <w:sz w:val="18"/>
              </w:rPr>
              <w:t>Incorporate automated Clean ABAP linters into prompt output validation; involve senior SAP architects early in pilot.</w:t>
            </w:r>
          </w:p>
        </w:tc>
      </w:tr>
    </w:tbl>
    <w:p>
      <w:pPr>
        <w:spacing w:after="160"/>
      </w:pPr>
    </w:p>
    <w:p>
      <w:pPr>
        <w:keepNext/>
        <w:spacing w:before="360" w:after="120"/>
      </w:pPr>
      <w:r>
        <w:rPr>
          <w:rFonts w:ascii="Calibri" w:hAnsi="Calibri"/>
          <w:b/>
          <w:color w:val="0050A0"/>
          <w:sz w:val="32"/>
        </w:rPr>
        <w:t>7. Resource Allocation, Infrastructure &amp; Operational Blueprint</w:t>
      </w:r>
    </w:p>
    <w:p>
      <w:pPr>
        <w:spacing w:before="0" w:after="120" w:line="276" w:lineRule="auto"/>
      </w:pPr>
      <w:r>
        <w:rPr>
          <w:rFonts w:ascii="Calibri" w:hAnsi="Calibri"/>
          <w:color w:val="323232"/>
          <w:sz w:val="22"/>
        </w:rPr>
        <w:t>A successful prototype delivery requires balanced human resource allocation, cloud infrastructure provisioning, and proactive strategy execution to overcome operational bottlenecks.</w:t>
      </w:r>
    </w:p>
    <w:p>
      <w:pPr>
        <w:keepNext/>
        <w:spacing w:before="240" w:after="80"/>
      </w:pPr>
      <w:r>
        <w:rPr>
          <w:rFonts w:ascii="Calibri" w:hAnsi="Calibri"/>
          <w:b/>
          <w:color w:val="285A8C"/>
          <w:sz w:val="26"/>
        </w:rPr>
        <w:t>7.1 Human Resource Allocation Matrix</w:t>
      </w:r>
    </w:p>
    <w:tbl>
      <w:tblPr>
        <w:tblW w:type="auto" w:w="0"/>
        <w:jc w:val="center"/>
        <w:tblLook w:firstColumn="1" w:firstRow="1" w:lastColumn="0" w:lastRow="0" w:noHBand="0" w:noVBand="1" w:val="04A0"/>
      </w:tblPr>
      <w:tblGrid>
        <w:gridCol w:w="2340"/>
        <w:gridCol w:w="2340"/>
        <w:gridCol w:w="2340"/>
        <w:gridCol w:w="2340"/>
      </w:tblGrid>
      <w:tr>
        <w:tc>
          <w:tcPr>
            <w:tcW w:type="dxa" w:w="2592"/>
            <w:shd w:fill="0070D2"/>
            <w:tcMar>
              <w:top w:w="120" w:type="dxa"/>
              <w:bottom w:w="120" w:type="dxa"/>
              <w:left w:w="120" w:type="dxa"/>
              <w:right w:w="120" w:type="dxa"/>
            </w:tcMar>
          </w:tcPr>
          <w:p>
            <w:pPr>
              <w:jc w:val="left"/>
            </w:pPr>
            <w:r>
              <w:rPr>
                <w:rFonts w:ascii="Calibri" w:hAnsi="Calibri"/>
                <w:b/>
                <w:color w:val="FFFFFF"/>
                <w:sz w:val="20"/>
              </w:rPr>
              <w:t>Project Role</w:t>
            </w:r>
          </w:p>
        </w:tc>
        <w:tc>
          <w:tcPr>
            <w:tcW w:type="dxa" w:w="1728"/>
            <w:shd w:fill="0070D2"/>
            <w:tcMar>
              <w:top w:w="120" w:type="dxa"/>
              <w:bottom w:w="120" w:type="dxa"/>
              <w:left w:w="120" w:type="dxa"/>
              <w:right w:w="120" w:type="dxa"/>
            </w:tcMar>
          </w:tcPr>
          <w:p>
            <w:pPr>
              <w:jc w:val="left"/>
            </w:pPr>
            <w:r>
              <w:rPr>
                <w:rFonts w:ascii="Calibri" w:hAnsi="Calibri"/>
                <w:b/>
                <w:color w:val="FFFFFF"/>
                <w:sz w:val="20"/>
              </w:rPr>
              <w:t>FTE Commitment</w:t>
            </w:r>
          </w:p>
        </w:tc>
        <w:tc>
          <w:tcPr>
            <w:tcW w:type="dxa" w:w="3600"/>
            <w:shd w:fill="0070D2"/>
            <w:tcMar>
              <w:top w:w="120" w:type="dxa"/>
              <w:bottom w:w="120" w:type="dxa"/>
              <w:left w:w="120" w:type="dxa"/>
              <w:right w:w="120" w:type="dxa"/>
            </w:tcMar>
          </w:tcPr>
          <w:p>
            <w:pPr>
              <w:jc w:val="left"/>
            </w:pPr>
            <w:r>
              <w:rPr>
                <w:rFonts w:ascii="Calibri" w:hAnsi="Calibri"/>
                <w:b/>
                <w:color w:val="FFFFFF"/>
                <w:sz w:val="20"/>
              </w:rPr>
              <w:t>Key Responsibilities &amp; Deliverables</w:t>
            </w:r>
          </w:p>
        </w:tc>
        <w:tc>
          <w:tcPr>
            <w:tcW w:type="dxa" w:w="1440"/>
            <w:shd w:fill="0070D2"/>
            <w:tcMar>
              <w:top w:w="120" w:type="dxa"/>
              <w:bottom w:w="120" w:type="dxa"/>
              <w:left w:w="120" w:type="dxa"/>
              <w:right w:w="120" w:type="dxa"/>
            </w:tcMar>
          </w:tcPr>
          <w:p>
            <w:pPr>
              <w:jc w:val="left"/>
            </w:pPr>
            <w:r>
              <w:rPr>
                <w:rFonts w:ascii="Calibri" w:hAnsi="Calibri"/>
                <w:b/>
                <w:color w:val="FFFFFF"/>
                <w:sz w:val="20"/>
              </w:rPr>
              <w:t>Allocation Phase</w:t>
            </w:r>
          </w:p>
        </w:tc>
      </w:tr>
      <w:tr>
        <w:tc>
          <w:tcPr>
            <w:tcW w:type="dxa" w:w="2592"/>
            <w:shd w:fill="F9FAFC"/>
            <w:tcMar>
              <w:top w:w="80" w:type="dxa"/>
              <w:bottom w:w="80" w:type="dxa"/>
              <w:left w:w="80" w:type="dxa"/>
              <w:right w:w="80" w:type="dxa"/>
            </w:tcMar>
          </w:tcPr>
          <w:p>
            <w:pPr>
              <w:spacing w:after="40"/>
            </w:pPr>
            <w:r>
              <w:rPr>
                <w:b/>
                <w:color w:val="00468C"/>
                <w:sz w:val="18"/>
              </w:rPr>
              <w:t>Lead SAP ABAP Architect</w:t>
            </w:r>
          </w:p>
        </w:tc>
        <w:tc>
          <w:tcPr>
            <w:tcW w:type="dxa" w:w="1728"/>
            <w:shd w:fill="F9FAFC"/>
            <w:tcMar>
              <w:top w:w="80" w:type="dxa"/>
              <w:bottom w:w="80" w:type="dxa"/>
              <w:left w:w="80" w:type="dxa"/>
              <w:right w:w="80" w:type="dxa"/>
            </w:tcMar>
          </w:tcPr>
          <w:p>
            <w:pPr>
              <w:spacing w:after="40"/>
            </w:pPr>
            <w:r>
              <w:rPr>
                <w:color w:val="323232"/>
                <w:sz w:val="18"/>
              </w:rPr>
              <w:t>1.0 FTE</w:t>
            </w:r>
          </w:p>
        </w:tc>
        <w:tc>
          <w:tcPr>
            <w:tcW w:type="dxa" w:w="3600"/>
            <w:shd w:fill="F9FAFC"/>
            <w:tcMar>
              <w:top w:w="80" w:type="dxa"/>
              <w:bottom w:w="80" w:type="dxa"/>
              <w:left w:w="80" w:type="dxa"/>
              <w:right w:w="80" w:type="dxa"/>
            </w:tcMar>
          </w:tcPr>
          <w:p>
            <w:pPr>
              <w:spacing w:after="40"/>
            </w:pPr>
            <w:r>
              <w:rPr>
                <w:color w:val="323232"/>
                <w:sz w:val="18"/>
              </w:rPr>
              <w:t>Define Clean ABAP standards, lead ATC integration, validate RAP/CDS models, conduct code reviews.</w:t>
            </w:r>
          </w:p>
        </w:tc>
        <w:tc>
          <w:tcPr>
            <w:tcW w:type="dxa" w:w="1440"/>
            <w:shd w:fill="F9FAFC"/>
            <w:tcMar>
              <w:top w:w="80" w:type="dxa"/>
              <w:bottom w:w="80" w:type="dxa"/>
              <w:left w:w="80" w:type="dxa"/>
              <w:right w:w="80" w:type="dxa"/>
            </w:tcMar>
          </w:tcPr>
          <w:p>
            <w:pPr>
              <w:spacing w:after="40"/>
            </w:pPr>
            <w:r>
              <w:rPr>
                <w:color w:val="323232"/>
                <w:sz w:val="18"/>
              </w:rPr>
              <w:t>Weeks 1 - 12</w:t>
            </w:r>
          </w:p>
        </w:tc>
      </w:tr>
      <w:tr>
        <w:tc>
          <w:tcPr>
            <w:tcW w:type="dxa" w:w="2592"/>
            <w:shd w:fill="FFFFFF"/>
            <w:tcMar>
              <w:top w:w="80" w:type="dxa"/>
              <w:bottom w:w="80" w:type="dxa"/>
              <w:left w:w="80" w:type="dxa"/>
              <w:right w:w="80" w:type="dxa"/>
            </w:tcMar>
          </w:tcPr>
          <w:p>
            <w:pPr>
              <w:spacing w:after="40"/>
            </w:pPr>
            <w:r>
              <w:rPr>
                <w:b/>
                <w:color w:val="00468C"/>
                <w:sz w:val="18"/>
              </w:rPr>
              <w:t>AI / ML Lead Engineer</w:t>
            </w:r>
          </w:p>
        </w:tc>
        <w:tc>
          <w:tcPr>
            <w:tcW w:type="dxa" w:w="1728"/>
            <w:shd w:fill="FFFFFF"/>
            <w:tcMar>
              <w:top w:w="80" w:type="dxa"/>
              <w:bottom w:w="80" w:type="dxa"/>
              <w:left w:w="80" w:type="dxa"/>
              <w:right w:w="80" w:type="dxa"/>
            </w:tcMar>
          </w:tcPr>
          <w:p>
            <w:pPr>
              <w:spacing w:after="40"/>
            </w:pPr>
            <w:r>
              <w:rPr>
                <w:color w:val="323232"/>
                <w:sz w:val="18"/>
              </w:rPr>
              <w:t>1.0 FTE</w:t>
            </w:r>
          </w:p>
        </w:tc>
        <w:tc>
          <w:tcPr>
            <w:tcW w:type="dxa" w:w="3600"/>
            <w:shd w:fill="FFFFFF"/>
            <w:tcMar>
              <w:top w:w="80" w:type="dxa"/>
              <w:bottom w:w="80" w:type="dxa"/>
              <w:left w:w="80" w:type="dxa"/>
              <w:right w:w="80" w:type="dxa"/>
            </w:tcMar>
          </w:tcPr>
          <w:p>
            <w:pPr>
              <w:spacing w:after="40"/>
            </w:pPr>
            <w:r>
              <w:rPr>
                <w:color w:val="323232"/>
                <w:sz w:val="18"/>
              </w:rPr>
              <w:t>Design RAG pipeline, manage vector DB, build prompt orchestration gateway, optimize LLM inference.</w:t>
            </w:r>
          </w:p>
        </w:tc>
        <w:tc>
          <w:tcPr>
            <w:tcW w:type="dxa" w:w="1440"/>
            <w:shd w:fill="FFFFFF"/>
            <w:tcMar>
              <w:top w:w="80" w:type="dxa"/>
              <w:bottom w:w="80" w:type="dxa"/>
              <w:left w:w="80" w:type="dxa"/>
              <w:right w:w="80" w:type="dxa"/>
            </w:tcMar>
          </w:tcPr>
          <w:p>
            <w:pPr>
              <w:spacing w:after="40"/>
            </w:pPr>
            <w:r>
              <w:rPr>
                <w:color w:val="323232"/>
                <w:sz w:val="18"/>
              </w:rPr>
              <w:t>Weeks 1 - 12</w:t>
            </w:r>
          </w:p>
        </w:tc>
      </w:tr>
      <w:tr>
        <w:tc>
          <w:tcPr>
            <w:tcW w:type="dxa" w:w="2592"/>
            <w:shd w:fill="F9FAFC"/>
            <w:tcMar>
              <w:top w:w="80" w:type="dxa"/>
              <w:bottom w:w="80" w:type="dxa"/>
              <w:left w:w="80" w:type="dxa"/>
              <w:right w:w="80" w:type="dxa"/>
            </w:tcMar>
          </w:tcPr>
          <w:p>
            <w:pPr>
              <w:spacing w:after="40"/>
            </w:pPr>
            <w:r>
              <w:rPr>
                <w:b/>
                <w:color w:val="00468C"/>
                <w:sz w:val="18"/>
              </w:rPr>
              <w:t>SAP BTP / Cloud Developer</w:t>
            </w:r>
          </w:p>
        </w:tc>
        <w:tc>
          <w:tcPr>
            <w:tcW w:type="dxa" w:w="1728"/>
            <w:shd w:fill="F9FAFC"/>
            <w:tcMar>
              <w:top w:w="80" w:type="dxa"/>
              <w:bottom w:w="80" w:type="dxa"/>
              <w:left w:w="80" w:type="dxa"/>
              <w:right w:w="80" w:type="dxa"/>
            </w:tcMar>
          </w:tcPr>
          <w:p>
            <w:pPr>
              <w:spacing w:after="40"/>
            </w:pPr>
            <w:r>
              <w:rPr>
                <w:color w:val="323232"/>
                <w:sz w:val="18"/>
              </w:rPr>
              <w:t>1.0 FTE</w:t>
            </w:r>
          </w:p>
        </w:tc>
        <w:tc>
          <w:tcPr>
            <w:tcW w:type="dxa" w:w="3600"/>
            <w:shd w:fill="F9FAFC"/>
            <w:tcMar>
              <w:top w:w="80" w:type="dxa"/>
              <w:bottom w:w="80" w:type="dxa"/>
              <w:left w:w="80" w:type="dxa"/>
              <w:right w:w="80" w:type="dxa"/>
            </w:tcMar>
          </w:tcPr>
          <w:p>
            <w:pPr>
              <w:spacing w:after="40"/>
            </w:pPr>
            <w:r>
              <w:rPr>
                <w:color w:val="323232"/>
                <w:sz w:val="18"/>
              </w:rPr>
              <w:t>Implement SAP BTP middleware, configure SAP IAS authentication, build RFC/OData connectors.</w:t>
            </w:r>
          </w:p>
        </w:tc>
        <w:tc>
          <w:tcPr>
            <w:tcW w:type="dxa" w:w="1440"/>
            <w:shd w:fill="F9FAFC"/>
            <w:tcMar>
              <w:top w:w="80" w:type="dxa"/>
              <w:bottom w:w="80" w:type="dxa"/>
              <w:left w:w="80" w:type="dxa"/>
              <w:right w:w="80" w:type="dxa"/>
            </w:tcMar>
          </w:tcPr>
          <w:p>
            <w:pPr>
              <w:spacing w:after="40"/>
            </w:pPr>
            <w:r>
              <w:rPr>
                <w:color w:val="323232"/>
                <w:sz w:val="18"/>
              </w:rPr>
              <w:t>Weeks 2 - 10</w:t>
            </w:r>
          </w:p>
        </w:tc>
      </w:tr>
      <w:tr>
        <w:tc>
          <w:tcPr>
            <w:tcW w:type="dxa" w:w="2592"/>
            <w:shd w:fill="FFFFFF"/>
            <w:tcMar>
              <w:top w:w="80" w:type="dxa"/>
              <w:bottom w:w="80" w:type="dxa"/>
              <w:left w:w="80" w:type="dxa"/>
              <w:right w:w="80" w:type="dxa"/>
            </w:tcMar>
          </w:tcPr>
          <w:p>
            <w:pPr>
              <w:spacing w:after="40"/>
            </w:pPr>
            <w:r>
              <w:rPr>
                <w:b/>
                <w:color w:val="00468C"/>
                <w:sz w:val="18"/>
              </w:rPr>
              <w:t>Frontend IDE Developer</w:t>
            </w:r>
          </w:p>
        </w:tc>
        <w:tc>
          <w:tcPr>
            <w:tcW w:type="dxa" w:w="1728"/>
            <w:shd w:fill="FFFFFF"/>
            <w:tcMar>
              <w:top w:w="80" w:type="dxa"/>
              <w:bottom w:w="80" w:type="dxa"/>
              <w:left w:w="80" w:type="dxa"/>
              <w:right w:w="80" w:type="dxa"/>
            </w:tcMar>
          </w:tcPr>
          <w:p>
            <w:pPr>
              <w:spacing w:after="40"/>
            </w:pPr>
            <w:r>
              <w:rPr>
                <w:color w:val="323232"/>
                <w:sz w:val="18"/>
              </w:rPr>
              <w:t>0.5 FTE</w:t>
            </w:r>
          </w:p>
        </w:tc>
        <w:tc>
          <w:tcPr>
            <w:tcW w:type="dxa" w:w="3600"/>
            <w:shd w:fill="FFFFFF"/>
            <w:tcMar>
              <w:top w:w="80" w:type="dxa"/>
              <w:bottom w:w="80" w:type="dxa"/>
              <w:left w:w="80" w:type="dxa"/>
              <w:right w:w="80" w:type="dxa"/>
            </w:tcMar>
          </w:tcPr>
          <w:p>
            <w:pPr>
              <w:spacing w:after="40"/>
            </w:pPr>
            <w:r>
              <w:rPr>
                <w:color w:val="323232"/>
                <w:sz w:val="18"/>
              </w:rPr>
              <w:t>Develop Eclipse ADT Java plugin and VS Code extension UI components.</w:t>
            </w:r>
          </w:p>
        </w:tc>
        <w:tc>
          <w:tcPr>
            <w:tcW w:type="dxa" w:w="1440"/>
            <w:shd w:fill="FFFFFF"/>
            <w:tcMar>
              <w:top w:w="80" w:type="dxa"/>
              <w:bottom w:w="80" w:type="dxa"/>
              <w:left w:w="80" w:type="dxa"/>
              <w:right w:w="80" w:type="dxa"/>
            </w:tcMar>
          </w:tcPr>
          <w:p>
            <w:pPr>
              <w:spacing w:after="40"/>
            </w:pPr>
            <w:r>
              <w:rPr>
                <w:color w:val="323232"/>
                <w:sz w:val="18"/>
              </w:rPr>
              <w:t>Weeks 4 - 9</w:t>
            </w:r>
          </w:p>
        </w:tc>
      </w:tr>
      <w:tr>
        <w:tc>
          <w:tcPr>
            <w:tcW w:type="dxa" w:w="2592"/>
            <w:shd w:fill="F9FAFC"/>
            <w:tcMar>
              <w:top w:w="80" w:type="dxa"/>
              <w:bottom w:w="80" w:type="dxa"/>
              <w:left w:w="80" w:type="dxa"/>
              <w:right w:w="80" w:type="dxa"/>
            </w:tcMar>
          </w:tcPr>
          <w:p>
            <w:pPr>
              <w:spacing w:after="40"/>
            </w:pPr>
            <w:r>
              <w:rPr>
                <w:b/>
                <w:color w:val="00468C"/>
                <w:sz w:val="18"/>
              </w:rPr>
              <w:t>SAP QA &amp; Security Specialist</w:t>
            </w:r>
          </w:p>
        </w:tc>
        <w:tc>
          <w:tcPr>
            <w:tcW w:type="dxa" w:w="1728"/>
            <w:shd w:fill="F9FAFC"/>
            <w:tcMar>
              <w:top w:w="80" w:type="dxa"/>
              <w:bottom w:w="80" w:type="dxa"/>
              <w:left w:w="80" w:type="dxa"/>
              <w:right w:w="80" w:type="dxa"/>
            </w:tcMar>
          </w:tcPr>
          <w:p>
            <w:pPr>
              <w:spacing w:after="40"/>
            </w:pPr>
            <w:r>
              <w:rPr>
                <w:color w:val="323232"/>
                <w:sz w:val="18"/>
              </w:rPr>
              <w:t>0.5 FTE</w:t>
            </w:r>
          </w:p>
        </w:tc>
        <w:tc>
          <w:tcPr>
            <w:tcW w:type="dxa" w:w="3600"/>
            <w:shd w:fill="F9FAFC"/>
            <w:tcMar>
              <w:top w:w="80" w:type="dxa"/>
              <w:bottom w:w="80" w:type="dxa"/>
              <w:left w:w="80" w:type="dxa"/>
              <w:right w:w="80" w:type="dxa"/>
            </w:tcMar>
          </w:tcPr>
          <w:p>
            <w:pPr>
              <w:spacing w:after="40"/>
            </w:pPr>
            <w:r>
              <w:rPr>
                <w:color w:val="323232"/>
                <w:sz w:val="18"/>
              </w:rPr>
              <w:t>Execute security audit, validate data masking gateway, manage pilot developer benchmark testing.</w:t>
            </w:r>
          </w:p>
        </w:tc>
        <w:tc>
          <w:tcPr>
            <w:tcW w:type="dxa" w:w="1440"/>
            <w:shd w:fill="F9FAFC"/>
            <w:tcMar>
              <w:top w:w="80" w:type="dxa"/>
              <w:bottom w:w="80" w:type="dxa"/>
              <w:left w:w="80" w:type="dxa"/>
              <w:right w:w="80" w:type="dxa"/>
            </w:tcMar>
          </w:tcPr>
          <w:p>
            <w:pPr>
              <w:spacing w:after="40"/>
            </w:pPr>
            <w:r>
              <w:rPr>
                <w:color w:val="323232"/>
                <w:sz w:val="18"/>
              </w:rPr>
              <w:t>Weeks 8 - 12</w:t>
            </w:r>
          </w:p>
        </w:tc>
      </w:tr>
    </w:tbl>
    <w:p>
      <w:pPr>
        <w:spacing w:after="160"/>
      </w:pPr>
    </w:p>
    <w:p>
      <w:pPr>
        <w:keepNext/>
        <w:spacing w:before="240" w:after="80"/>
      </w:pPr>
      <w:r>
        <w:rPr>
          <w:rFonts w:ascii="Calibri" w:hAnsi="Calibri"/>
          <w:b/>
          <w:color w:val="285A8C"/>
          <w:sz w:val="26"/>
        </w:rPr>
        <w:t>7.2 Infrastructure &amp; Tooling Requirements</w:t>
      </w:r>
    </w:p>
    <w:p>
      <w:pPr>
        <w:pStyle w:val="ListBullet"/>
        <w:spacing w:before="0" w:after="60" w:line="276" w:lineRule="auto"/>
      </w:pPr>
      <w:r>
        <w:rPr>
          <w:rFonts w:ascii="Calibri" w:hAnsi="Calibri"/>
          <w:b/>
          <w:color w:val="1E1E1E"/>
          <w:sz w:val="22"/>
        </w:rPr>
        <w:t xml:space="preserve">SAP Sandbox Instance: </w:t>
      </w:r>
      <w:r>
        <w:rPr>
          <w:rFonts w:ascii="Calibri" w:hAnsi="Calibri"/>
          <w:color w:val="3C3C3C"/>
          <w:sz w:val="22"/>
        </w:rPr>
        <w:t>Dedicated SAP S/4HANA 2023 On-Premise / Private Cloud sandbox system with developer access (Developer keys &amp; ATC enabled).</w:t>
      </w:r>
    </w:p>
    <w:p>
      <w:pPr>
        <w:pStyle w:val="ListBullet"/>
        <w:spacing w:before="0" w:after="60" w:line="276" w:lineRule="auto"/>
      </w:pPr>
      <w:r>
        <w:rPr>
          <w:rFonts w:ascii="Calibri" w:hAnsi="Calibri"/>
          <w:b/>
          <w:color w:val="1E1E1E"/>
          <w:sz w:val="22"/>
        </w:rPr>
        <w:t xml:space="preserve">SAP BTP Enterprise Tenant: </w:t>
      </w:r>
      <w:r>
        <w:rPr>
          <w:rFonts w:ascii="Calibri" w:hAnsi="Calibri"/>
          <w:color w:val="3C3C3C"/>
          <w:sz w:val="22"/>
        </w:rPr>
        <w:t>SAP Business Technology Platform runtime environment (Kyma/Cloud Foundry) with SAP AI Core subscription.</w:t>
      </w:r>
    </w:p>
    <w:p>
      <w:pPr>
        <w:pStyle w:val="ListBullet"/>
        <w:spacing w:before="0" w:after="60" w:line="276" w:lineRule="auto"/>
      </w:pPr>
      <w:r>
        <w:rPr>
          <w:rFonts w:ascii="Calibri" w:hAnsi="Calibri"/>
          <w:b/>
          <w:color w:val="1E1E1E"/>
          <w:sz w:val="22"/>
        </w:rPr>
        <w:t xml:space="preserve">AI Vector Infrastructure: </w:t>
      </w:r>
      <w:r>
        <w:rPr>
          <w:rFonts w:ascii="Calibri" w:hAnsi="Calibri"/>
          <w:color w:val="3C3C3C"/>
          <w:sz w:val="22"/>
        </w:rPr>
        <w:t>Qdrant Enterprise / FAISS cluster hosted with minimum 32GB RAM for low-latency similarity vector searches.</w:t>
      </w:r>
    </w:p>
    <w:p>
      <w:pPr>
        <w:pStyle w:val="ListBullet"/>
        <w:spacing w:before="0" w:after="60" w:line="276" w:lineRule="auto"/>
      </w:pPr>
      <w:r>
        <w:rPr>
          <w:rFonts w:ascii="Calibri" w:hAnsi="Calibri"/>
          <w:b/>
          <w:color w:val="1E1E1E"/>
          <w:sz w:val="22"/>
        </w:rPr>
        <w:t xml:space="preserve">LLM Cloud API Access: </w:t>
      </w:r>
      <w:r>
        <w:rPr>
          <w:rFonts w:ascii="Calibri" w:hAnsi="Calibri"/>
          <w:color w:val="3C3C3C"/>
          <w:sz w:val="22"/>
        </w:rPr>
        <w:t>Enterprise Azure OpenAI Service endpoint (GPT-4o deployment with zero-data-logging agreement).</w:t>
      </w:r>
    </w:p>
    <w:p>
      <w:pPr>
        <w:keepNext/>
        <w:spacing w:before="240" w:after="80"/>
      </w:pPr>
      <w:r>
        <w:rPr>
          <w:rFonts w:ascii="Calibri" w:hAnsi="Calibri"/>
          <w:b/>
          <w:color w:val="285A8C"/>
          <w:sz w:val="26"/>
        </w:rPr>
        <w:t>7.3 Operational Challenges &amp; Countermeasure Strategies</w:t>
      </w:r>
    </w:p>
    <w:p>
      <w:pPr>
        <w:pStyle w:val="ListBullet"/>
        <w:spacing w:before="0" w:after="60" w:line="276" w:lineRule="auto"/>
      </w:pPr>
      <w:r>
        <w:rPr>
          <w:rFonts w:ascii="Calibri" w:hAnsi="Calibri"/>
          <w:b/>
          <w:color w:val="1E1E1E"/>
          <w:sz w:val="22"/>
        </w:rPr>
        <w:t>Challenge 1: SAP System Access &amp; RFC Auth Delays</w:t>
      </w:r>
      <w:r>
        <w:rPr>
          <w:rFonts w:ascii="Calibri" w:hAnsi="Calibri"/>
          <w:color w:val="3C3C3C"/>
          <w:sz w:val="22"/>
        </w:rPr>
        <w:t>Strategy: Pre-provision SAP developer licenses and RFC service users during Week 1 inception phase.</w:t>
      </w:r>
    </w:p>
    <w:p>
      <w:pPr>
        <w:pStyle w:val="ListBullet"/>
        <w:spacing w:before="0" w:after="60" w:line="276" w:lineRule="auto"/>
      </w:pPr>
      <w:r>
        <w:rPr>
          <w:rFonts w:ascii="Calibri" w:hAnsi="Calibri"/>
          <w:b/>
          <w:color w:val="1E1E1E"/>
          <w:sz w:val="22"/>
        </w:rPr>
        <w:t>Challenge 2: Enterprise Security Approval for Cloud LLMs</w:t>
      </w:r>
      <w:r>
        <w:rPr>
          <w:rFonts w:ascii="Calibri" w:hAnsi="Calibri"/>
          <w:color w:val="3C3C3C"/>
          <w:sz w:val="22"/>
        </w:rPr>
        <w:t>Strategy: Present pre-sanitized PII architecture and data protection impact assessment (DPIA) to InfoSec in Week 2.</w:t>
      </w:r>
    </w:p>
    <w:p>
      <w:pPr>
        <w:pStyle w:val="ListBullet"/>
        <w:spacing w:before="0" w:after="60" w:line="276" w:lineRule="auto"/>
      </w:pPr>
      <w:r>
        <w:rPr>
          <w:rFonts w:ascii="Calibri" w:hAnsi="Calibri"/>
          <w:b/>
          <w:color w:val="1E1E1E"/>
          <w:sz w:val="22"/>
        </w:rPr>
        <w:t>Challenge 3: ABAP Developer Inertia &amp; Change Management</w:t>
      </w:r>
      <w:r>
        <w:rPr>
          <w:rFonts w:ascii="Calibri" w:hAnsi="Calibri"/>
          <w:color w:val="3C3C3C"/>
          <w:sz w:val="22"/>
        </w:rPr>
        <w:t>Strategy: Run hands-on workshops during pilot (Week 12) showing clear velocity gain on repetitive CDS &amp; unit test creation tasks.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232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