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color w:val="0070D2"/>
          <w:sz w:val="20"/>
        </w:rPr>
        <w:t>ENTERPRISE SAP MODERNIZATION SPECIFICATION | WEEK 2 DELIVERABLE</w:t>
        <w:br/>
      </w:r>
      <w:r>
        <w:rPr>
          <w:rFonts w:ascii="Calibri Light" w:hAnsi="Calibri Light"/>
          <w:b/>
          <w:color w:val="14233C"/>
          <w:sz w:val="48"/>
        </w:rPr>
        <w:t>Virtual SAP ABAP Coding Assistant:</w:t>
        <w:br/>
        <w:t>Requirements Analysis &amp; Functional Design</w:t>
      </w:r>
    </w:p>
    <w:p>
      <w:pPr>
        <w:spacing w:before="80" w:after="360"/>
      </w:pPr>
      <w:r>
        <w:rPr>
          <w:rFonts w:ascii="Calibri" w:hAnsi="Calibri"/>
          <w:i/>
          <w:color w:val="646464"/>
          <w:sz w:val="23"/>
        </w:rPr>
        <w:t>Detailed Functional Specification, System Flowcharts, API Schemas, UI Sketches, Module Specifications, and Resiliency Strategies for SAP S/4HANA Modernization</w:t>
      </w:r>
    </w:p>
    <w:tbl>
      <w:tblPr>
        <w:tblW w:type="auto" w:w="0"/>
        <w:jc w:val="center"/>
        <w:tblLook w:firstColumn="1" w:firstRow="1" w:lastColumn="0" w:lastRow="0" w:noHBand="0" w:noVBand="1" w:val="04A0"/>
      </w:tblPr>
      <w:tblGrid>
        <w:gridCol w:w="4680"/>
        <w:gridCol w:w="4680"/>
      </w:tblGrid>
      <w:tr>
        <w:tc>
          <w:tcPr>
            <w:tcW w:type="dxa" w:w="2880"/>
            <w:shd w:fill="F7F9FC"/>
            <w:tcMar>
              <w:top w:w="60" w:type="dxa"/>
              <w:bottom w:w="60" w:type="dxa"/>
              <w:left w:w="100" w:type="dxa"/>
              <w:right w:w="100" w:type="dxa"/>
            </w:tcMar>
          </w:tcPr>
          <w:p>
            <w:pPr>
              <w:spacing w:after="40"/>
            </w:pPr>
            <w:r>
              <w:rPr>
                <w:b/>
                <w:color w:val="0070D2"/>
                <w:sz w:val="19"/>
              </w:rPr>
              <w:t>Document Identifier:</w:t>
            </w:r>
          </w:p>
        </w:tc>
        <w:tc>
          <w:tcPr>
            <w:tcW w:type="dxa" w:w="6480"/>
            <w:shd w:fill="F7F9FC"/>
            <w:tcMar>
              <w:top w:w="60" w:type="dxa"/>
              <w:bottom w:w="60" w:type="dxa"/>
              <w:left w:w="100" w:type="dxa"/>
              <w:right w:w="100" w:type="dxa"/>
            </w:tcMar>
          </w:tcPr>
          <w:p>
            <w:pPr>
              <w:spacing w:after="40"/>
            </w:pPr>
            <w:r>
              <w:rPr>
                <w:color w:val="3C3C3C"/>
                <w:sz w:val="19"/>
              </w:rPr>
              <w:t>SAP-AI-ABAP-REQ-FUNC-2026-V2</w:t>
            </w:r>
          </w:p>
        </w:tc>
      </w:tr>
      <w:tr>
        <w:tc>
          <w:tcPr>
            <w:tcW w:type="dxa" w:w="2880"/>
            <w:shd w:fill="FFFFFF"/>
            <w:tcMar>
              <w:top w:w="60" w:type="dxa"/>
              <w:bottom w:w="60" w:type="dxa"/>
              <w:left w:w="100" w:type="dxa"/>
              <w:right w:w="100" w:type="dxa"/>
            </w:tcMar>
          </w:tcPr>
          <w:p>
            <w:pPr>
              <w:spacing w:after="40"/>
            </w:pPr>
            <w:r>
              <w:rPr>
                <w:b/>
                <w:color w:val="0070D2"/>
                <w:sz w:val="19"/>
              </w:rPr>
              <w:t>Target System Environment:</w:t>
            </w:r>
          </w:p>
        </w:tc>
        <w:tc>
          <w:tcPr>
            <w:tcW w:type="dxa" w:w="6480"/>
            <w:shd w:fill="FFFFFF"/>
            <w:tcMar>
              <w:top w:w="60" w:type="dxa"/>
              <w:bottom w:w="60" w:type="dxa"/>
              <w:left w:w="100" w:type="dxa"/>
              <w:right w:w="100" w:type="dxa"/>
            </w:tcMar>
          </w:tcPr>
          <w:p>
            <w:pPr>
              <w:spacing w:after="40"/>
            </w:pPr>
            <w:r>
              <w:rPr>
                <w:color w:val="3C3C3C"/>
                <w:sz w:val="19"/>
              </w:rPr>
              <w:t>SAP S/4HANA (2023+), SAP BTP AI Core &amp; ABAP 7.5+ RAP</w:t>
            </w:r>
          </w:p>
        </w:tc>
      </w:tr>
      <w:tr>
        <w:tc>
          <w:tcPr>
            <w:tcW w:type="dxa" w:w="2880"/>
            <w:shd w:fill="F7F9FC"/>
            <w:tcMar>
              <w:top w:w="60" w:type="dxa"/>
              <w:bottom w:w="60" w:type="dxa"/>
              <w:left w:w="100" w:type="dxa"/>
              <w:right w:w="100" w:type="dxa"/>
            </w:tcMar>
          </w:tcPr>
          <w:p>
            <w:pPr>
              <w:spacing w:after="40"/>
            </w:pPr>
            <w:r>
              <w:rPr>
                <w:b/>
                <w:color w:val="0070D2"/>
                <w:sz w:val="19"/>
              </w:rPr>
              <w:t>Specification Scope:</w:t>
            </w:r>
          </w:p>
        </w:tc>
        <w:tc>
          <w:tcPr>
            <w:tcW w:type="dxa" w:w="6480"/>
            <w:shd w:fill="F7F9FC"/>
            <w:tcMar>
              <w:top w:w="60" w:type="dxa"/>
              <w:bottom w:w="60" w:type="dxa"/>
              <w:left w:w="100" w:type="dxa"/>
              <w:right w:w="100" w:type="dxa"/>
            </w:tcMar>
          </w:tcPr>
          <w:p>
            <w:pPr>
              <w:spacing w:after="40"/>
            </w:pPr>
            <w:r>
              <w:rPr>
                <w:color w:val="3C3C3C"/>
                <w:sz w:val="19"/>
              </w:rPr>
              <w:t>Functional Specs, System Diagrams, UI Sketches, Data Flows &amp; Resiliency</w:t>
            </w:r>
          </w:p>
        </w:tc>
      </w:tr>
      <w:tr>
        <w:tc>
          <w:tcPr>
            <w:tcW w:type="dxa" w:w="2880"/>
            <w:shd w:fill="FFFFFF"/>
            <w:tcMar>
              <w:top w:w="60" w:type="dxa"/>
              <w:bottom w:w="60" w:type="dxa"/>
              <w:left w:w="100" w:type="dxa"/>
              <w:right w:w="100" w:type="dxa"/>
            </w:tcMar>
          </w:tcPr>
          <w:p>
            <w:pPr>
              <w:spacing w:after="40"/>
            </w:pPr>
            <w:r>
              <w:rPr>
                <w:b/>
                <w:color w:val="0070D2"/>
                <w:sz w:val="19"/>
              </w:rPr>
              <w:t>Document Status:</w:t>
            </w:r>
          </w:p>
        </w:tc>
        <w:tc>
          <w:tcPr>
            <w:tcW w:type="dxa" w:w="6480"/>
            <w:shd w:fill="FFFFFF"/>
            <w:tcMar>
              <w:top w:w="60" w:type="dxa"/>
              <w:bottom w:w="60" w:type="dxa"/>
              <w:left w:w="100" w:type="dxa"/>
              <w:right w:w="100" w:type="dxa"/>
            </w:tcMar>
          </w:tcPr>
          <w:p>
            <w:pPr>
              <w:spacing w:after="40"/>
            </w:pPr>
            <w:r>
              <w:rPr>
                <w:color w:val="3C3C3C"/>
                <w:sz w:val="19"/>
              </w:rPr>
              <w:t>v2.0 (Final Approved Requirements &amp; Functional Design)</w:t>
            </w:r>
          </w:p>
        </w:tc>
      </w:tr>
    </w:tbl>
    <w:p>
      <w:pPr>
        <w:spacing w:after="240"/>
      </w:pPr>
    </w:p>
    <w:p>
      <w:pPr>
        <w:keepNext/>
        <w:spacing w:before="360" w:after="120"/>
      </w:pPr>
      <w:r>
        <w:rPr>
          <w:rFonts w:ascii="Calibri" w:hAnsi="Calibri"/>
          <w:b/>
          <w:color w:val="0050A0"/>
          <w:sz w:val="30"/>
        </w:rPr>
        <w:t>1. Executive Summary &amp; Industry Benchmark Analysis</w:t>
      </w:r>
    </w:p>
    <w:p>
      <w:pPr>
        <w:spacing w:before="0" w:after="120" w:line="276" w:lineRule="auto"/>
      </w:pPr>
      <w:r>
        <w:rPr>
          <w:rFonts w:ascii="Calibri" w:hAnsi="Calibri"/>
          <w:color w:val="323232"/>
          <w:sz w:val="21"/>
        </w:rPr>
        <w:t>Enterprise application development within the SAP ecosystem is undergoing a generational shift. As global enterprises migrate from legacy SAP ECC 6.0 environments to SAP S/4HANA and SAP Business Technology Platform (BTP), software engineering teams face significant friction. Decades of legacy ABAP custom code (procedural Z-programs, direct SQL table accesses, missing unit tests, and obsolete syntax) present a major operational bottleneck to achieving SAP's 'Clean Core' paradigm.</w:t>
      </w:r>
    </w:p>
    <w:p>
      <w:pPr>
        <w:spacing w:before="0" w:after="120" w:line="276" w:lineRule="auto"/>
      </w:pPr>
      <w:r>
        <w:rPr>
          <w:rFonts w:ascii="Calibri" w:hAnsi="Calibri"/>
          <w:color w:val="323232"/>
          <w:sz w:val="21"/>
        </w:rPr>
        <w:t>Industry research into existing commercial SAP coding assistants (such as SAP Build Code / Joule for ABAP and general-purpose tools like GitHub Copilot) reveals critical capability gaps. General LLM assistants lack deep context regarding enterprise-specific SAP data dictionaries, custom BAPIs, modern ABAP RESTful Application Programming Model (RAP) constructs, and real-time ABAP Test Cockpit (ATC) static analysis feedback. Conversely, standard SAP tools lack inline context-aware code generation inside modern developer environments like VS Code or custom Eclipse ADT instances.</w:t>
      </w:r>
    </w:p>
    <w:tbl>
      <w:tblPr>
        <w:tblW w:type="auto" w:w="0"/>
        <w:jc w:val="center"/>
        <w:tblLayout w:type="fixed"/>
        <w:tblLook w:firstColumn="1" w:firstRow="1" w:lastColumn="0" w:lastRow="0" w:noHBand="0" w:noVBand="1" w:val="04A0"/>
      </w:tblPr>
      <w:tblGrid>
        <w:gridCol w:w="9360"/>
      </w:tblGrid>
      <w:tr>
        <w:tc>
          <w:tcPr>
            <w:tcW w:type="dxa" w:w="9360"/>
            <w:shd w:fill="F0F4F8"/>
            <w:tcBorders>
              <w:top w:val="none"/>
              <w:left w:val="single" w:sz="36" w:space="0" w:color="0070D2"/>
              <w:bottom w:val="none"/>
              <w:right w:val="none"/>
            </w:tcBorders>
            <w:tcMar>
              <w:top w:w="140" w:type="dxa"/>
              <w:bottom w:w="140" w:type="dxa"/>
              <w:left w:w="200" w:type="dxa"/>
              <w:right w:w="150" w:type="dxa"/>
            </w:tcMar>
          </w:tcPr>
          <w:p>
            <w:pPr>
              <w:spacing w:before="40" w:after="80"/>
            </w:pPr>
            <w:r>
              <w:rPr>
                <w:rFonts w:ascii="Calibri" w:hAnsi="Calibri"/>
                <w:b/>
                <w:color w:val="0070D2"/>
                <w:sz w:val="22"/>
              </w:rPr>
              <w:t>📌 SYSTEM DESIGN PHILOSOPHY</w:t>
              <w:br/>
            </w:r>
            <w:r>
              <w:rPr>
                <w:rFonts w:ascii="Calibri" w:hAnsi="Calibri"/>
                <w:color w:val="282828"/>
                <w:sz w:val="21"/>
              </w:rPr>
              <w:t>The Virtual SAP ABAP Coding Assistant bridges this gap by marrying Retrieval-Augmented Generation (RAG) over official SAP Keyword Documentation and Clean ABAP style rules with live SAP RFC syntax validation. This architecture delivers real-time contextual inline code completions, automated ATC refactoring, ABAP Unit test scaffolding, and CDS/RAP model generation within &lt;1.5s sub-second latency targets.</w:t>
            </w:r>
          </w:p>
        </w:tc>
      </w:tr>
    </w:tbl>
    <w:p>
      <w:pPr>
        <w:spacing w:before="0" w:after="120"/>
      </w:pPr>
    </w:p>
    <w:p>
      <w:pPr>
        <w:keepNext/>
        <w:spacing w:before="240" w:after="80"/>
      </w:pPr>
      <w:r>
        <w:rPr>
          <w:rFonts w:ascii="Calibri" w:hAnsi="Calibri"/>
          <w:b/>
          <w:color w:val="285A8C"/>
          <w:sz w:val="25"/>
        </w:rPr>
        <w:t>1.1 Comparative Benchmark Matrix</w:t>
      </w:r>
    </w:p>
    <w:tbl>
      <w:tblPr>
        <w:tblW w:type="auto" w:w="0"/>
        <w:jc w:val="center"/>
        <w:tblLook w:firstColumn="1" w:firstRow="1" w:lastColumn="0" w:lastRow="0" w:noHBand="0" w:noVBand="1" w:val="04A0"/>
      </w:tblPr>
      <w:tblGrid>
        <w:gridCol w:w="2340"/>
        <w:gridCol w:w="2340"/>
        <w:gridCol w:w="2340"/>
        <w:gridCol w:w="2340"/>
      </w:tblGrid>
      <w:tr>
        <w:tc>
          <w:tcPr>
            <w:tcW w:type="dxa" w:w="2304"/>
            <w:shd w:fill="0070D2"/>
            <w:tcMar>
              <w:top w:w="120" w:type="dxa"/>
              <w:bottom w:w="120" w:type="dxa"/>
              <w:left w:w="120" w:type="dxa"/>
              <w:right w:w="120" w:type="dxa"/>
            </w:tcMar>
          </w:tcPr>
          <w:p>
            <w:pPr>
              <w:jc w:val="left"/>
            </w:pPr>
            <w:r>
              <w:t>Feature Capability</w:t>
            </w:r>
          </w:p>
        </w:tc>
        <w:tc>
          <w:tcPr>
            <w:tcW w:type="dxa" w:w="2304"/>
            <w:shd w:fill="0070D2"/>
            <w:tcMar>
              <w:top w:w="120" w:type="dxa"/>
              <w:bottom w:w="120" w:type="dxa"/>
              <w:left w:w="120" w:type="dxa"/>
              <w:right w:w="120" w:type="dxa"/>
            </w:tcMar>
          </w:tcPr>
          <w:p>
            <w:pPr>
              <w:jc w:val="left"/>
            </w:pPr>
            <w:r>
              <w:t>General AI (Copilot)</w:t>
            </w:r>
          </w:p>
        </w:tc>
        <w:tc>
          <w:tcPr>
            <w:tcW w:type="dxa" w:w="2304"/>
            <w:shd w:fill="0070D2"/>
            <w:tcMar>
              <w:top w:w="120" w:type="dxa"/>
              <w:bottom w:w="120" w:type="dxa"/>
              <w:left w:w="120" w:type="dxa"/>
              <w:right w:w="120" w:type="dxa"/>
            </w:tcMar>
          </w:tcPr>
          <w:p>
            <w:pPr>
              <w:jc w:val="left"/>
            </w:pPr>
            <w:r>
              <w:t>SAP Joule / Build Code</w:t>
            </w:r>
          </w:p>
        </w:tc>
        <w:tc>
          <w:tcPr>
            <w:tcW w:type="dxa" w:w="2448"/>
            <w:shd w:fill="0070D2"/>
            <w:tcMar>
              <w:top w:w="120" w:type="dxa"/>
              <w:bottom w:w="120" w:type="dxa"/>
              <w:left w:w="120" w:type="dxa"/>
              <w:right w:w="120" w:type="dxa"/>
            </w:tcMar>
          </w:tcPr>
          <w:p>
            <w:pPr>
              <w:jc w:val="left"/>
            </w:pPr>
            <w:r>
              <w:t>Virtual SAP Assistant (Proposed)</w:t>
            </w:r>
          </w:p>
        </w:tc>
      </w:tr>
      <w:tr>
        <w:tc>
          <w:tcPr>
            <w:tcW w:type="dxa" w:w="2304"/>
            <w:shd w:fill="F7F9FC"/>
            <w:tcMar>
              <w:top w:w="60" w:type="dxa"/>
              <w:bottom w:w="60" w:type="dxa"/>
              <w:left w:w="80" w:type="dxa"/>
              <w:right w:w="80" w:type="dxa"/>
            </w:tcMar>
          </w:tcPr>
          <w:p>
            <w:pPr>
              <w:spacing w:after="40"/>
            </w:pPr>
            <w:r>
              <w:rPr>
                <w:color w:val="3C3C3C"/>
                <w:sz w:val="18"/>
              </w:rPr>
              <w:t>ABAP 7.5+ / RAP Context</w:t>
            </w:r>
          </w:p>
        </w:tc>
        <w:tc>
          <w:tcPr>
            <w:tcW w:type="dxa" w:w="2304"/>
            <w:shd w:fill="F7F9FC"/>
            <w:tcMar>
              <w:top w:w="60" w:type="dxa"/>
              <w:bottom w:w="60" w:type="dxa"/>
              <w:left w:w="80" w:type="dxa"/>
              <w:right w:w="80" w:type="dxa"/>
            </w:tcMar>
          </w:tcPr>
          <w:p>
            <w:pPr>
              <w:spacing w:after="40"/>
            </w:pPr>
            <w:r>
              <w:rPr>
                <w:color w:val="3C3C3C"/>
                <w:sz w:val="18"/>
              </w:rPr>
              <w:t>Limited / Generic syntax</w:t>
            </w:r>
          </w:p>
        </w:tc>
        <w:tc>
          <w:tcPr>
            <w:tcW w:type="dxa" w:w="2304"/>
            <w:shd w:fill="F7F9FC"/>
            <w:tcMar>
              <w:top w:w="60" w:type="dxa"/>
              <w:bottom w:w="60" w:type="dxa"/>
              <w:left w:w="80" w:type="dxa"/>
              <w:right w:w="80" w:type="dxa"/>
            </w:tcMar>
          </w:tcPr>
          <w:p>
            <w:pPr>
              <w:spacing w:after="40"/>
            </w:pPr>
            <w:r>
              <w:rPr>
                <w:color w:val="3C3C3C"/>
                <w:sz w:val="18"/>
              </w:rPr>
              <w:t>Moderate (SAP BTP focused)</w:t>
            </w:r>
          </w:p>
        </w:tc>
        <w:tc>
          <w:tcPr>
            <w:tcW w:type="dxa" w:w="2448"/>
            <w:shd w:fill="F7F9FC"/>
            <w:tcMar>
              <w:top w:w="60" w:type="dxa"/>
              <w:bottom w:w="60" w:type="dxa"/>
              <w:left w:w="80" w:type="dxa"/>
              <w:right w:w="80" w:type="dxa"/>
            </w:tcMar>
          </w:tcPr>
          <w:p>
            <w:pPr>
              <w:spacing w:after="40"/>
            </w:pPr>
            <w:r>
              <w:rPr>
                <w:b/>
                <w:color w:val="0070D2"/>
                <w:sz w:val="18"/>
              </w:rPr>
              <w:t>High (RAG + AST Context Assembly)</w:t>
            </w:r>
          </w:p>
        </w:tc>
      </w:tr>
      <w:tr>
        <w:tc>
          <w:tcPr>
            <w:tcW w:type="dxa" w:w="2304"/>
            <w:shd w:fill="FFFFFF"/>
            <w:tcMar>
              <w:top w:w="60" w:type="dxa"/>
              <w:bottom w:w="60" w:type="dxa"/>
              <w:left w:w="80" w:type="dxa"/>
              <w:right w:w="80" w:type="dxa"/>
            </w:tcMar>
          </w:tcPr>
          <w:p>
            <w:pPr>
              <w:spacing w:after="40"/>
            </w:pPr>
            <w:r>
              <w:rPr>
                <w:color w:val="3C3C3C"/>
                <w:sz w:val="18"/>
              </w:rPr>
              <w:t>Live SAP Syntax Checking</w:t>
            </w:r>
          </w:p>
        </w:tc>
        <w:tc>
          <w:tcPr>
            <w:tcW w:type="dxa" w:w="2304"/>
            <w:shd w:fill="FFFFFF"/>
            <w:tcMar>
              <w:top w:w="60" w:type="dxa"/>
              <w:bottom w:w="60" w:type="dxa"/>
              <w:left w:w="80" w:type="dxa"/>
              <w:right w:w="80" w:type="dxa"/>
            </w:tcMar>
          </w:tcPr>
          <w:p>
            <w:pPr>
              <w:spacing w:after="40"/>
            </w:pPr>
            <w:r>
              <w:rPr>
                <w:color w:val="3C3C3C"/>
                <w:sz w:val="18"/>
              </w:rPr>
              <w:t>None (Static string predictions)</w:t>
            </w:r>
          </w:p>
        </w:tc>
        <w:tc>
          <w:tcPr>
            <w:tcW w:type="dxa" w:w="2304"/>
            <w:shd w:fill="FFFFFF"/>
            <w:tcMar>
              <w:top w:w="60" w:type="dxa"/>
              <w:bottom w:w="60" w:type="dxa"/>
              <w:left w:w="80" w:type="dxa"/>
              <w:right w:w="80" w:type="dxa"/>
            </w:tcMar>
          </w:tcPr>
          <w:p>
            <w:pPr>
              <w:spacing w:after="40"/>
            </w:pPr>
            <w:r>
              <w:rPr>
                <w:color w:val="3C3C3C"/>
                <w:sz w:val="18"/>
              </w:rPr>
              <w:t>Delayed server syntax check</w:t>
            </w:r>
          </w:p>
        </w:tc>
        <w:tc>
          <w:tcPr>
            <w:tcW w:type="dxa" w:w="2448"/>
            <w:shd w:fill="FFFFFF"/>
            <w:tcMar>
              <w:top w:w="60" w:type="dxa"/>
              <w:bottom w:w="60" w:type="dxa"/>
              <w:left w:w="80" w:type="dxa"/>
              <w:right w:w="80" w:type="dxa"/>
            </w:tcMar>
          </w:tcPr>
          <w:p>
            <w:pPr>
              <w:spacing w:after="40"/>
            </w:pPr>
            <w:r>
              <w:rPr>
                <w:b/>
                <w:color w:val="0070D2"/>
                <w:sz w:val="18"/>
              </w:rPr>
              <w:t>Real-Time RFC Validation (&lt;300ms)</w:t>
            </w:r>
          </w:p>
        </w:tc>
      </w:tr>
      <w:tr>
        <w:tc>
          <w:tcPr>
            <w:tcW w:type="dxa" w:w="2304"/>
            <w:shd w:fill="F7F9FC"/>
            <w:tcMar>
              <w:top w:w="60" w:type="dxa"/>
              <w:bottom w:w="60" w:type="dxa"/>
              <w:left w:w="80" w:type="dxa"/>
              <w:right w:w="80" w:type="dxa"/>
            </w:tcMar>
          </w:tcPr>
          <w:p>
            <w:pPr>
              <w:spacing w:after="40"/>
            </w:pPr>
            <w:r>
              <w:rPr>
                <w:color w:val="3C3C3C"/>
                <w:sz w:val="18"/>
              </w:rPr>
              <w:t>ATC Refactoring &amp; Fixes</w:t>
            </w:r>
          </w:p>
        </w:tc>
        <w:tc>
          <w:tcPr>
            <w:tcW w:type="dxa" w:w="2304"/>
            <w:shd w:fill="F7F9FC"/>
            <w:tcMar>
              <w:top w:w="60" w:type="dxa"/>
              <w:bottom w:w="60" w:type="dxa"/>
              <w:left w:w="80" w:type="dxa"/>
              <w:right w:w="80" w:type="dxa"/>
            </w:tcMar>
          </w:tcPr>
          <w:p>
            <w:pPr>
              <w:spacing w:after="40"/>
            </w:pPr>
            <w:r>
              <w:rPr>
                <w:color w:val="3C3C3C"/>
                <w:sz w:val="18"/>
              </w:rPr>
              <w:t>Generic suggestions</w:t>
            </w:r>
          </w:p>
        </w:tc>
        <w:tc>
          <w:tcPr>
            <w:tcW w:type="dxa" w:w="2304"/>
            <w:shd w:fill="F7F9FC"/>
            <w:tcMar>
              <w:top w:w="60" w:type="dxa"/>
              <w:bottom w:w="60" w:type="dxa"/>
              <w:left w:w="80" w:type="dxa"/>
              <w:right w:w="80" w:type="dxa"/>
            </w:tcMar>
          </w:tcPr>
          <w:p>
            <w:pPr>
              <w:spacing w:after="40"/>
            </w:pPr>
            <w:r>
              <w:rPr>
                <w:color w:val="3C3C3C"/>
                <w:sz w:val="18"/>
              </w:rPr>
              <w:t>Manual prompt triggers</w:t>
            </w:r>
          </w:p>
        </w:tc>
        <w:tc>
          <w:tcPr>
            <w:tcW w:type="dxa" w:w="2448"/>
            <w:shd w:fill="F7F9FC"/>
            <w:tcMar>
              <w:top w:w="60" w:type="dxa"/>
              <w:bottom w:w="60" w:type="dxa"/>
              <w:left w:w="80" w:type="dxa"/>
              <w:right w:w="80" w:type="dxa"/>
            </w:tcMar>
          </w:tcPr>
          <w:p>
            <w:pPr>
              <w:spacing w:after="40"/>
            </w:pPr>
            <w:r>
              <w:rPr>
                <w:b/>
                <w:color w:val="0070D2"/>
                <w:sz w:val="18"/>
              </w:rPr>
              <w:t>1-Click ATC Remediation Pipeline</w:t>
            </w:r>
          </w:p>
        </w:tc>
      </w:tr>
      <w:tr>
        <w:tc>
          <w:tcPr>
            <w:tcW w:type="dxa" w:w="2304"/>
            <w:shd w:fill="FFFFFF"/>
            <w:tcMar>
              <w:top w:w="60" w:type="dxa"/>
              <w:bottom w:w="60" w:type="dxa"/>
              <w:left w:w="80" w:type="dxa"/>
              <w:right w:w="80" w:type="dxa"/>
            </w:tcMar>
          </w:tcPr>
          <w:p>
            <w:pPr>
              <w:spacing w:after="40"/>
            </w:pPr>
            <w:r>
              <w:rPr>
                <w:color w:val="3C3C3C"/>
                <w:sz w:val="18"/>
              </w:rPr>
              <w:t>IDE Multi-Platform</w:t>
            </w:r>
          </w:p>
        </w:tc>
        <w:tc>
          <w:tcPr>
            <w:tcW w:type="dxa" w:w="2304"/>
            <w:shd w:fill="FFFFFF"/>
            <w:tcMar>
              <w:top w:w="60" w:type="dxa"/>
              <w:bottom w:w="60" w:type="dxa"/>
              <w:left w:w="80" w:type="dxa"/>
              <w:right w:w="80" w:type="dxa"/>
            </w:tcMar>
          </w:tcPr>
          <w:p>
            <w:pPr>
              <w:spacing w:after="40"/>
            </w:pPr>
            <w:r>
              <w:rPr>
                <w:color w:val="3C3C3C"/>
                <w:sz w:val="18"/>
              </w:rPr>
              <w:t>VS Code / JetBrains</w:t>
            </w:r>
          </w:p>
        </w:tc>
        <w:tc>
          <w:tcPr>
            <w:tcW w:type="dxa" w:w="2304"/>
            <w:shd w:fill="FFFFFF"/>
            <w:tcMar>
              <w:top w:w="60" w:type="dxa"/>
              <w:bottom w:w="60" w:type="dxa"/>
              <w:left w:w="80" w:type="dxa"/>
              <w:right w:w="80" w:type="dxa"/>
            </w:tcMar>
          </w:tcPr>
          <w:p>
            <w:pPr>
              <w:spacing w:after="40"/>
            </w:pPr>
            <w:r>
              <w:rPr>
                <w:color w:val="3C3C3C"/>
                <w:sz w:val="18"/>
              </w:rPr>
              <w:t>SAP Business Application Studio</w:t>
            </w:r>
          </w:p>
        </w:tc>
        <w:tc>
          <w:tcPr>
            <w:tcW w:type="dxa" w:w="2448"/>
            <w:shd w:fill="FFFFFF"/>
            <w:tcMar>
              <w:top w:w="60" w:type="dxa"/>
              <w:bottom w:w="60" w:type="dxa"/>
              <w:left w:w="80" w:type="dxa"/>
              <w:right w:w="80" w:type="dxa"/>
            </w:tcMar>
          </w:tcPr>
          <w:p>
            <w:pPr>
              <w:spacing w:after="40"/>
            </w:pPr>
            <w:r>
              <w:rPr>
                <w:b/>
                <w:color w:val="0070D2"/>
                <w:sz w:val="18"/>
              </w:rPr>
              <w:t>Eclipse ADT &amp; VS Code Plugins</w:t>
            </w:r>
          </w:p>
        </w:tc>
      </w:tr>
    </w:tbl>
    <w:p>
      <w:pPr>
        <w:spacing w:after="160"/>
      </w:pPr>
    </w:p>
    <w:p>
      <w:pPr>
        <w:keepNext/>
        <w:spacing w:before="360" w:after="120"/>
      </w:pPr>
      <w:r>
        <w:rPr>
          <w:rFonts w:ascii="Calibri" w:hAnsi="Calibri"/>
          <w:b/>
          <w:color w:val="0050A0"/>
          <w:sz w:val="30"/>
        </w:rPr>
        <w:t>2. Requirements Analysis &amp; User Persona Modeling</w:t>
      </w:r>
    </w:p>
    <w:p>
      <w:pPr>
        <w:spacing w:before="0" w:after="120" w:line="276" w:lineRule="auto"/>
      </w:pPr>
      <w:r>
        <w:rPr>
          <w:rFonts w:ascii="Calibri" w:hAnsi="Calibri"/>
          <w:color w:val="323232"/>
          <w:sz w:val="21"/>
        </w:rPr>
        <w:t>To ensure precise functional alignment with enterprise engineering workflows, user requirements were gathered across three primary enterprise SAP personas: Senior ABAP Developer, SAP Solution Architect, and Lead QA / Transport Manager.</w:t>
      </w:r>
    </w:p>
    <w:p>
      <w:pPr>
        <w:keepNext/>
        <w:spacing w:before="240" w:after="80"/>
      </w:pPr>
      <w:r>
        <w:rPr>
          <w:rFonts w:ascii="Calibri" w:hAnsi="Calibri"/>
          <w:b/>
          <w:color w:val="285A8C"/>
          <w:sz w:val="25"/>
        </w:rPr>
        <w:t>2.1 Target User Personas</w:t>
      </w:r>
    </w:p>
    <w:p>
      <w:pPr>
        <w:pStyle w:val="ListBullet"/>
        <w:spacing w:before="0" w:after="60" w:line="276" w:lineRule="auto"/>
      </w:pPr>
      <w:r>
        <w:rPr>
          <w:rFonts w:ascii="Calibri" w:hAnsi="Calibri"/>
          <w:b/>
          <w:color w:val="1E1E1E"/>
          <w:sz w:val="21"/>
        </w:rPr>
        <w:t xml:space="preserve">Persona 1: Senior ABAP Developer (Dev-User): </w:t>
      </w:r>
      <w:r>
        <w:rPr>
          <w:rFonts w:ascii="Calibri" w:hAnsi="Calibri"/>
          <w:color w:val="3C3C3C"/>
          <w:sz w:val="21"/>
        </w:rPr>
        <w:t>Requires instant inline completions for modern ABAP 7.5+ expressions (table expressions, string templates, VALUE #() constructs) and automated unit test generation to meet sprint coverage goals.</w:t>
      </w:r>
    </w:p>
    <w:p>
      <w:pPr>
        <w:pStyle w:val="ListBullet"/>
        <w:spacing w:before="0" w:after="60" w:line="276" w:lineRule="auto"/>
      </w:pPr>
      <w:r>
        <w:rPr>
          <w:rFonts w:ascii="Calibri" w:hAnsi="Calibri"/>
          <w:b/>
          <w:color w:val="1E1E1E"/>
          <w:sz w:val="21"/>
        </w:rPr>
        <w:t xml:space="preserve">Persona 2: SAP Solution Architect (Arch-User): </w:t>
      </w:r>
      <w:r>
        <w:rPr>
          <w:rFonts w:ascii="Calibri" w:hAnsi="Calibri"/>
          <w:color w:val="3C3C3C"/>
          <w:sz w:val="21"/>
        </w:rPr>
        <w:t>Requires automated RAP/CDS view scaffolding, Clean ABAP adherence, and automated migration path suggestions for legacy procedural Z-code to modern S/4HANA constructs.</w:t>
      </w:r>
    </w:p>
    <w:p>
      <w:pPr>
        <w:pStyle w:val="ListBullet"/>
        <w:spacing w:before="0" w:after="60" w:line="276" w:lineRule="auto"/>
      </w:pPr>
      <w:r>
        <w:rPr>
          <w:rFonts w:ascii="Calibri" w:hAnsi="Calibri"/>
          <w:b/>
          <w:color w:val="1E1E1E"/>
          <w:sz w:val="21"/>
        </w:rPr>
        <w:t xml:space="preserve">Persona 3: Lead QA / Transport Manager (QA-User): </w:t>
      </w:r>
      <w:r>
        <w:rPr>
          <w:rFonts w:ascii="Calibri" w:hAnsi="Calibri"/>
          <w:color w:val="3C3C3C"/>
          <w:sz w:val="21"/>
        </w:rPr>
        <w:t>Requires strict ABAP Test Cockpit (ATC) static analysis enforcement, P1/P2 security vulnerability checks, and automated ABAP Doc generation prior to transport release.</w:t>
      </w:r>
    </w:p>
    <w:p>
      <w:pPr>
        <w:keepNext/>
        <w:spacing w:before="240" w:after="80"/>
      </w:pPr>
      <w:r>
        <w:rPr>
          <w:rFonts w:ascii="Calibri" w:hAnsi="Calibri"/>
          <w:b/>
          <w:color w:val="285A8C"/>
          <w:sz w:val="25"/>
        </w:rPr>
        <w:t>2.2 Functional Requirements (FR)</w:t>
      </w:r>
    </w:p>
    <w:tbl>
      <w:tblPr>
        <w:tblW w:type="auto" w:w="0"/>
        <w:jc w:val="center"/>
        <w:tblLook w:firstColumn="1" w:firstRow="1" w:lastColumn="0" w:lastRow="0" w:noHBand="0" w:noVBand="1" w:val="04A0"/>
      </w:tblPr>
      <w:tblGrid>
        <w:gridCol w:w="2340"/>
        <w:gridCol w:w="2340"/>
        <w:gridCol w:w="2340"/>
        <w:gridCol w:w="2340"/>
      </w:tblGrid>
      <w:tr>
        <w:tc>
          <w:tcPr>
            <w:tcW w:type="dxa" w:w="1440"/>
            <w:shd w:fill="285A8C"/>
            <w:tcMar>
              <w:top w:w="120" w:type="dxa"/>
              <w:bottom w:w="120" w:type="dxa"/>
              <w:left w:w="120" w:type="dxa"/>
              <w:right w:w="120" w:type="dxa"/>
            </w:tcMar>
          </w:tcPr>
          <w:p>
            <w:pPr>
              <w:jc w:val="left"/>
            </w:pPr>
            <w:r>
              <w:t>Req ID</w:t>
            </w:r>
          </w:p>
        </w:tc>
        <w:tc>
          <w:tcPr>
            <w:tcW w:type="dxa" w:w="2592"/>
            <w:shd w:fill="285A8C"/>
            <w:tcMar>
              <w:top w:w="120" w:type="dxa"/>
              <w:bottom w:w="120" w:type="dxa"/>
              <w:left w:w="120" w:type="dxa"/>
              <w:right w:w="120" w:type="dxa"/>
            </w:tcMar>
          </w:tcPr>
          <w:p>
            <w:pPr>
              <w:jc w:val="left"/>
            </w:pPr>
            <w:r>
              <w:t>Module Name</w:t>
            </w:r>
          </w:p>
        </w:tc>
        <w:tc>
          <w:tcPr>
            <w:tcW w:type="dxa" w:w="3600"/>
            <w:shd w:fill="285A8C"/>
            <w:tcMar>
              <w:top w:w="120" w:type="dxa"/>
              <w:bottom w:w="120" w:type="dxa"/>
              <w:left w:w="120" w:type="dxa"/>
              <w:right w:w="120" w:type="dxa"/>
            </w:tcMar>
          </w:tcPr>
          <w:p>
            <w:pPr>
              <w:jc w:val="left"/>
            </w:pPr>
            <w:r>
              <w:t>Detailed Functional Requirement</w:t>
            </w:r>
          </w:p>
        </w:tc>
        <w:tc>
          <w:tcPr>
            <w:tcW w:type="dxa" w:w="1728"/>
            <w:shd w:fill="285A8C"/>
            <w:tcMar>
              <w:top w:w="120" w:type="dxa"/>
              <w:bottom w:w="120" w:type="dxa"/>
              <w:left w:w="120" w:type="dxa"/>
              <w:right w:w="120" w:type="dxa"/>
            </w:tcMar>
          </w:tcPr>
          <w:p>
            <w:pPr>
              <w:jc w:val="left"/>
            </w:pPr>
            <w:r>
              <w:t>Priority</w:t>
            </w:r>
          </w:p>
        </w:tc>
      </w:tr>
      <w:tr>
        <w:tc>
          <w:tcPr>
            <w:tcW w:type="dxa" w:w="1440"/>
            <w:shd w:fill="F7F9FC"/>
            <w:tcMar>
              <w:top w:w="60" w:type="dxa"/>
              <w:bottom w:w="60" w:type="dxa"/>
              <w:left w:w="80" w:type="dxa"/>
              <w:right w:w="80" w:type="dxa"/>
            </w:tcMar>
          </w:tcPr>
          <w:p>
            <w:pPr>
              <w:spacing w:after="40"/>
            </w:pPr>
            <w:r>
              <w:rPr>
                <w:b/>
                <w:sz w:val="18"/>
              </w:rPr>
              <w:t>FR-1</w:t>
            </w:r>
          </w:p>
        </w:tc>
        <w:tc>
          <w:tcPr>
            <w:tcW w:type="dxa" w:w="2592"/>
            <w:shd w:fill="F7F9FC"/>
            <w:tcMar>
              <w:top w:w="60" w:type="dxa"/>
              <w:bottom w:w="60" w:type="dxa"/>
              <w:left w:w="80" w:type="dxa"/>
              <w:right w:w="80" w:type="dxa"/>
            </w:tcMar>
          </w:tcPr>
          <w:p>
            <w:pPr>
              <w:spacing w:after="40"/>
            </w:pPr>
            <w:r>
              <w:rPr>
                <w:sz w:val="18"/>
              </w:rPr>
              <w:t>Inline Code Completion</w:t>
            </w:r>
          </w:p>
        </w:tc>
        <w:tc>
          <w:tcPr>
            <w:tcW w:type="dxa" w:w="3600"/>
            <w:shd w:fill="F7F9FC"/>
            <w:tcMar>
              <w:top w:w="60" w:type="dxa"/>
              <w:bottom w:w="60" w:type="dxa"/>
              <w:left w:w="80" w:type="dxa"/>
              <w:right w:w="80" w:type="dxa"/>
            </w:tcMar>
          </w:tcPr>
          <w:p>
            <w:pPr>
              <w:spacing w:after="40"/>
            </w:pPr>
            <w:r>
              <w:rPr>
                <w:sz w:val="18"/>
              </w:rPr>
              <w:t>System shall provide context-aware ghost-text code completions for ABAP 7.4+ and 7.5+ syntax within IDE editors with median latency &lt;1.5s.</w:t>
            </w:r>
          </w:p>
        </w:tc>
        <w:tc>
          <w:tcPr>
            <w:tcW w:type="dxa" w:w="1728"/>
            <w:shd w:fill="F7F9FC"/>
            <w:tcMar>
              <w:top w:w="60" w:type="dxa"/>
              <w:bottom w:w="60" w:type="dxa"/>
              <w:left w:w="80" w:type="dxa"/>
              <w:right w:w="80" w:type="dxa"/>
            </w:tcMar>
          </w:tcPr>
          <w:p>
            <w:pPr>
              <w:spacing w:after="40"/>
            </w:pPr>
            <w:r>
              <w:rPr>
                <w:sz w:val="18"/>
              </w:rPr>
              <w:t>High (P1)</w:t>
            </w:r>
          </w:p>
        </w:tc>
      </w:tr>
      <w:tr>
        <w:tc>
          <w:tcPr>
            <w:tcW w:type="dxa" w:w="1440"/>
            <w:shd w:fill="FFFFFF"/>
            <w:tcMar>
              <w:top w:w="60" w:type="dxa"/>
              <w:bottom w:w="60" w:type="dxa"/>
              <w:left w:w="80" w:type="dxa"/>
              <w:right w:w="80" w:type="dxa"/>
            </w:tcMar>
          </w:tcPr>
          <w:p>
            <w:pPr>
              <w:spacing w:after="40"/>
            </w:pPr>
            <w:r>
              <w:rPr>
                <w:b/>
                <w:sz w:val="18"/>
              </w:rPr>
              <w:t>FR-2</w:t>
            </w:r>
          </w:p>
        </w:tc>
        <w:tc>
          <w:tcPr>
            <w:tcW w:type="dxa" w:w="2592"/>
            <w:shd w:fill="FFFFFF"/>
            <w:tcMar>
              <w:top w:w="60" w:type="dxa"/>
              <w:bottom w:w="60" w:type="dxa"/>
              <w:left w:w="80" w:type="dxa"/>
              <w:right w:w="80" w:type="dxa"/>
            </w:tcMar>
          </w:tcPr>
          <w:p>
            <w:pPr>
              <w:spacing w:after="40"/>
            </w:pPr>
            <w:r>
              <w:rPr>
                <w:sz w:val="18"/>
              </w:rPr>
              <w:t>RAP &amp; CDS Generator</w:t>
            </w:r>
          </w:p>
        </w:tc>
        <w:tc>
          <w:tcPr>
            <w:tcW w:type="dxa" w:w="3600"/>
            <w:shd w:fill="FFFFFF"/>
            <w:tcMar>
              <w:top w:w="60" w:type="dxa"/>
              <w:bottom w:w="60" w:type="dxa"/>
              <w:left w:w="80" w:type="dxa"/>
              <w:right w:w="80" w:type="dxa"/>
            </w:tcMar>
          </w:tcPr>
          <w:p>
            <w:pPr>
              <w:spacing w:after="40"/>
            </w:pPr>
            <w:r>
              <w:rPr>
                <w:sz w:val="18"/>
              </w:rPr>
              <w:t>System shall auto-generate Core Data Services (CDS) view definitions and Business Object Behavior Definitions (BDEF) based on natural language or DB tables.</w:t>
            </w:r>
          </w:p>
        </w:tc>
        <w:tc>
          <w:tcPr>
            <w:tcW w:type="dxa" w:w="1728"/>
            <w:shd w:fill="FFFFFF"/>
            <w:tcMar>
              <w:top w:w="60" w:type="dxa"/>
              <w:bottom w:w="60" w:type="dxa"/>
              <w:left w:w="80" w:type="dxa"/>
              <w:right w:w="80" w:type="dxa"/>
            </w:tcMar>
          </w:tcPr>
          <w:p>
            <w:pPr>
              <w:spacing w:after="40"/>
            </w:pPr>
            <w:r>
              <w:rPr>
                <w:sz w:val="18"/>
              </w:rPr>
              <w:t>High (P1)</w:t>
            </w:r>
          </w:p>
        </w:tc>
      </w:tr>
      <w:tr>
        <w:tc>
          <w:tcPr>
            <w:tcW w:type="dxa" w:w="1440"/>
            <w:shd w:fill="F7F9FC"/>
            <w:tcMar>
              <w:top w:w="60" w:type="dxa"/>
              <w:bottom w:w="60" w:type="dxa"/>
              <w:left w:w="80" w:type="dxa"/>
              <w:right w:w="80" w:type="dxa"/>
            </w:tcMar>
          </w:tcPr>
          <w:p>
            <w:pPr>
              <w:spacing w:after="40"/>
            </w:pPr>
            <w:r>
              <w:rPr>
                <w:b/>
                <w:sz w:val="18"/>
              </w:rPr>
              <w:t>FR-3</w:t>
            </w:r>
          </w:p>
        </w:tc>
        <w:tc>
          <w:tcPr>
            <w:tcW w:type="dxa" w:w="2592"/>
            <w:shd w:fill="F7F9FC"/>
            <w:tcMar>
              <w:top w:w="60" w:type="dxa"/>
              <w:bottom w:w="60" w:type="dxa"/>
              <w:left w:w="80" w:type="dxa"/>
              <w:right w:w="80" w:type="dxa"/>
            </w:tcMar>
          </w:tcPr>
          <w:p>
            <w:pPr>
              <w:spacing w:after="40"/>
            </w:pPr>
            <w:r>
              <w:rPr>
                <w:sz w:val="18"/>
              </w:rPr>
              <w:t>ATC Refactoring Engine</w:t>
            </w:r>
          </w:p>
        </w:tc>
        <w:tc>
          <w:tcPr>
            <w:tcW w:type="dxa" w:w="3600"/>
            <w:shd w:fill="F7F9FC"/>
            <w:tcMar>
              <w:top w:w="60" w:type="dxa"/>
              <w:bottom w:w="60" w:type="dxa"/>
              <w:left w:w="80" w:type="dxa"/>
              <w:right w:w="80" w:type="dxa"/>
            </w:tcMar>
          </w:tcPr>
          <w:p>
            <w:pPr>
              <w:spacing w:after="40"/>
            </w:pPr>
            <w:r>
              <w:rPr>
                <w:sz w:val="18"/>
              </w:rPr>
              <w:t>System shall evaluate active ABAP code against SAP ATC static checks and provide 1-click remediation diffs for security, syntax, and performance findings.</w:t>
            </w:r>
          </w:p>
        </w:tc>
        <w:tc>
          <w:tcPr>
            <w:tcW w:type="dxa" w:w="1728"/>
            <w:shd w:fill="F7F9FC"/>
            <w:tcMar>
              <w:top w:w="60" w:type="dxa"/>
              <w:bottom w:w="60" w:type="dxa"/>
              <w:left w:w="80" w:type="dxa"/>
              <w:right w:w="80" w:type="dxa"/>
            </w:tcMar>
          </w:tcPr>
          <w:p>
            <w:pPr>
              <w:spacing w:after="40"/>
            </w:pPr>
            <w:r>
              <w:rPr>
                <w:sz w:val="18"/>
              </w:rPr>
              <w:t>High (P1)</w:t>
            </w:r>
          </w:p>
        </w:tc>
      </w:tr>
      <w:tr>
        <w:tc>
          <w:tcPr>
            <w:tcW w:type="dxa" w:w="1440"/>
            <w:shd w:fill="FFFFFF"/>
            <w:tcMar>
              <w:top w:w="60" w:type="dxa"/>
              <w:bottom w:w="60" w:type="dxa"/>
              <w:left w:w="80" w:type="dxa"/>
              <w:right w:w="80" w:type="dxa"/>
            </w:tcMar>
          </w:tcPr>
          <w:p>
            <w:pPr>
              <w:spacing w:after="40"/>
            </w:pPr>
            <w:r>
              <w:rPr>
                <w:b/>
                <w:sz w:val="18"/>
              </w:rPr>
              <w:t>FR-4</w:t>
            </w:r>
          </w:p>
        </w:tc>
        <w:tc>
          <w:tcPr>
            <w:tcW w:type="dxa" w:w="2592"/>
            <w:shd w:fill="FFFFFF"/>
            <w:tcMar>
              <w:top w:w="60" w:type="dxa"/>
              <w:bottom w:w="60" w:type="dxa"/>
              <w:left w:w="80" w:type="dxa"/>
              <w:right w:w="80" w:type="dxa"/>
            </w:tcMar>
          </w:tcPr>
          <w:p>
            <w:pPr>
              <w:spacing w:after="40"/>
            </w:pPr>
            <w:r>
              <w:rPr>
                <w:sz w:val="18"/>
              </w:rPr>
              <w:t>ABAP Unit Generator</w:t>
            </w:r>
          </w:p>
        </w:tc>
        <w:tc>
          <w:tcPr>
            <w:tcW w:type="dxa" w:w="3600"/>
            <w:shd w:fill="FFFFFF"/>
            <w:tcMar>
              <w:top w:w="60" w:type="dxa"/>
              <w:bottom w:w="60" w:type="dxa"/>
              <w:left w:w="80" w:type="dxa"/>
              <w:right w:w="80" w:type="dxa"/>
            </w:tcMar>
          </w:tcPr>
          <w:p>
            <w:pPr>
              <w:spacing w:after="40"/>
            </w:pPr>
            <w:r>
              <w:rPr>
                <w:sz w:val="18"/>
              </w:rPr>
              <w:t>System shall automatically scaffold ABAP Unit test classes utilizing CL_ABAP_UNIT_ASSERT and test double frameworks for custom classes/methods.</w:t>
            </w:r>
          </w:p>
        </w:tc>
        <w:tc>
          <w:tcPr>
            <w:tcW w:type="dxa" w:w="1728"/>
            <w:shd w:fill="FFFFFF"/>
            <w:tcMar>
              <w:top w:w="60" w:type="dxa"/>
              <w:bottom w:w="60" w:type="dxa"/>
              <w:left w:w="80" w:type="dxa"/>
              <w:right w:w="80" w:type="dxa"/>
            </w:tcMar>
          </w:tcPr>
          <w:p>
            <w:pPr>
              <w:spacing w:after="40"/>
            </w:pPr>
            <w:r>
              <w:rPr>
                <w:sz w:val="18"/>
              </w:rPr>
              <w:t>Medium (P2)</w:t>
            </w:r>
          </w:p>
        </w:tc>
      </w:tr>
      <w:tr>
        <w:tc>
          <w:tcPr>
            <w:tcW w:type="dxa" w:w="1440"/>
            <w:shd w:fill="F7F9FC"/>
            <w:tcMar>
              <w:top w:w="60" w:type="dxa"/>
              <w:bottom w:w="60" w:type="dxa"/>
              <w:left w:w="80" w:type="dxa"/>
              <w:right w:w="80" w:type="dxa"/>
            </w:tcMar>
          </w:tcPr>
          <w:p>
            <w:pPr>
              <w:spacing w:after="40"/>
            </w:pPr>
            <w:r>
              <w:rPr>
                <w:b/>
                <w:sz w:val="18"/>
              </w:rPr>
              <w:t>FR-5</w:t>
            </w:r>
          </w:p>
        </w:tc>
        <w:tc>
          <w:tcPr>
            <w:tcW w:type="dxa" w:w="2592"/>
            <w:shd w:fill="F7F9FC"/>
            <w:tcMar>
              <w:top w:w="60" w:type="dxa"/>
              <w:bottom w:w="60" w:type="dxa"/>
              <w:left w:w="80" w:type="dxa"/>
              <w:right w:w="80" w:type="dxa"/>
            </w:tcMar>
          </w:tcPr>
          <w:p>
            <w:pPr>
              <w:spacing w:after="40"/>
            </w:pPr>
            <w:r>
              <w:rPr>
                <w:sz w:val="18"/>
              </w:rPr>
              <w:t>ABAP Doc Generator</w:t>
            </w:r>
          </w:p>
        </w:tc>
        <w:tc>
          <w:tcPr>
            <w:tcW w:type="dxa" w:w="3600"/>
            <w:shd w:fill="F7F9FC"/>
            <w:tcMar>
              <w:top w:w="60" w:type="dxa"/>
              <w:bottom w:w="60" w:type="dxa"/>
              <w:left w:w="80" w:type="dxa"/>
              <w:right w:w="80" w:type="dxa"/>
            </w:tcMar>
          </w:tcPr>
          <w:p>
            <w:pPr>
              <w:spacing w:after="40"/>
            </w:pPr>
            <w:r>
              <w:rPr>
                <w:sz w:val="18"/>
              </w:rPr>
              <w:t>System shall parse method signatures and parameters to auto-generate ABAP Doc format inline docstrings.</w:t>
            </w:r>
          </w:p>
        </w:tc>
        <w:tc>
          <w:tcPr>
            <w:tcW w:type="dxa" w:w="1728"/>
            <w:shd w:fill="F7F9FC"/>
            <w:tcMar>
              <w:top w:w="60" w:type="dxa"/>
              <w:bottom w:w="60" w:type="dxa"/>
              <w:left w:w="80" w:type="dxa"/>
              <w:right w:w="80" w:type="dxa"/>
            </w:tcMar>
          </w:tcPr>
          <w:p>
            <w:pPr>
              <w:spacing w:after="40"/>
            </w:pPr>
            <w:r>
              <w:rPr>
                <w:sz w:val="18"/>
              </w:rPr>
              <w:t>Medium (P2)</w:t>
            </w:r>
          </w:p>
        </w:tc>
      </w:tr>
      <w:tr>
        <w:tc>
          <w:tcPr>
            <w:tcW w:type="dxa" w:w="1440"/>
            <w:shd w:fill="FFFFFF"/>
            <w:tcMar>
              <w:top w:w="60" w:type="dxa"/>
              <w:bottom w:w="60" w:type="dxa"/>
              <w:left w:w="80" w:type="dxa"/>
              <w:right w:w="80" w:type="dxa"/>
            </w:tcMar>
          </w:tcPr>
          <w:p>
            <w:pPr>
              <w:spacing w:after="40"/>
            </w:pPr>
            <w:r>
              <w:rPr>
                <w:b/>
                <w:sz w:val="18"/>
              </w:rPr>
              <w:t>FR-6</w:t>
            </w:r>
          </w:p>
        </w:tc>
        <w:tc>
          <w:tcPr>
            <w:tcW w:type="dxa" w:w="2592"/>
            <w:shd w:fill="FFFFFF"/>
            <w:tcMar>
              <w:top w:w="60" w:type="dxa"/>
              <w:bottom w:w="60" w:type="dxa"/>
              <w:left w:w="80" w:type="dxa"/>
              <w:right w:w="80" w:type="dxa"/>
            </w:tcMar>
          </w:tcPr>
          <w:p>
            <w:pPr>
              <w:spacing w:after="40"/>
            </w:pPr>
            <w:r>
              <w:rPr>
                <w:sz w:val="18"/>
              </w:rPr>
              <w:t>Clean ABAP RAG Engine</w:t>
            </w:r>
          </w:p>
        </w:tc>
        <w:tc>
          <w:tcPr>
            <w:tcW w:type="dxa" w:w="3600"/>
            <w:shd w:fill="FFFFFF"/>
            <w:tcMar>
              <w:top w:w="60" w:type="dxa"/>
              <w:bottom w:w="60" w:type="dxa"/>
              <w:left w:w="80" w:type="dxa"/>
              <w:right w:w="80" w:type="dxa"/>
            </w:tcMar>
          </w:tcPr>
          <w:p>
            <w:pPr>
              <w:spacing w:after="40"/>
            </w:pPr>
            <w:r>
              <w:rPr>
                <w:sz w:val="18"/>
              </w:rPr>
              <w:t>System shall index official Clean ABAP style guides and SAP Keyword Documentation into a vector database to answer developer query prompts.</w:t>
            </w:r>
          </w:p>
        </w:tc>
        <w:tc>
          <w:tcPr>
            <w:tcW w:type="dxa" w:w="1728"/>
            <w:shd w:fill="FFFFFF"/>
            <w:tcMar>
              <w:top w:w="60" w:type="dxa"/>
              <w:bottom w:w="60" w:type="dxa"/>
              <w:left w:w="80" w:type="dxa"/>
              <w:right w:w="80" w:type="dxa"/>
            </w:tcMar>
          </w:tcPr>
          <w:p>
            <w:pPr>
              <w:spacing w:after="40"/>
            </w:pPr>
            <w:r>
              <w:rPr>
                <w:sz w:val="18"/>
              </w:rPr>
              <w:t>High (P1)</w:t>
            </w:r>
          </w:p>
        </w:tc>
      </w:tr>
    </w:tbl>
    <w:p>
      <w:pPr>
        <w:keepNext/>
        <w:spacing w:before="240" w:after="80"/>
      </w:pPr>
      <w:r>
        <w:rPr>
          <w:rFonts w:ascii="Calibri" w:hAnsi="Calibri"/>
          <w:b/>
          <w:color w:val="285A8C"/>
          <w:sz w:val="25"/>
        </w:rPr>
        <w:t>2.3 Non-Functional Requirements (NFR)</w:t>
      </w:r>
    </w:p>
    <w:p>
      <w:pPr>
        <w:pStyle w:val="ListBullet"/>
        <w:spacing w:before="0" w:after="60" w:line="276" w:lineRule="auto"/>
      </w:pPr>
      <w:r>
        <w:rPr>
          <w:rFonts w:ascii="Calibri" w:hAnsi="Calibri"/>
          <w:b/>
          <w:color w:val="1E1E1E"/>
          <w:sz w:val="21"/>
        </w:rPr>
        <w:t xml:space="preserve">NFR-1 (Performance &amp; Latency): </w:t>
      </w:r>
      <w:r>
        <w:rPr>
          <w:rFonts w:ascii="Calibri" w:hAnsi="Calibri"/>
          <w:color w:val="3C3C3C"/>
          <w:sz w:val="21"/>
        </w:rPr>
        <w:t>Inline code completion response generation shall complete within a median time of &lt;1.5 seconds. SAP RFC syntax checking shall complete within &lt;300ms.</w:t>
      </w:r>
    </w:p>
    <w:p>
      <w:pPr>
        <w:pStyle w:val="ListBullet"/>
        <w:spacing w:before="0" w:after="60" w:line="276" w:lineRule="auto"/>
      </w:pPr>
      <w:r>
        <w:rPr>
          <w:rFonts w:ascii="Calibri" w:hAnsi="Calibri"/>
          <w:b/>
          <w:color w:val="1E1E1E"/>
          <w:sz w:val="21"/>
        </w:rPr>
        <w:t xml:space="preserve">NFR-2 (Security &amp; Data Privacy): </w:t>
      </w:r>
      <w:r>
        <w:rPr>
          <w:rFonts w:ascii="Calibri" w:hAnsi="Calibri"/>
          <w:color w:val="3C3C3C"/>
          <w:sz w:val="21"/>
        </w:rPr>
        <w:t>No proprietary customer source code or database values shall be stored in external LLM logs. Prompt sanitization and client-side PII scrubbing engine shall mask Z-table schemas.</w:t>
      </w:r>
    </w:p>
    <w:p>
      <w:pPr>
        <w:pStyle w:val="ListBullet"/>
        <w:spacing w:before="0" w:after="60" w:line="276" w:lineRule="auto"/>
      </w:pPr>
      <w:r>
        <w:rPr>
          <w:rFonts w:ascii="Calibri" w:hAnsi="Calibri"/>
          <w:b/>
          <w:color w:val="1E1E1E"/>
          <w:sz w:val="21"/>
        </w:rPr>
        <w:t xml:space="preserve">NFR-3 (Availability &amp; Reliability): </w:t>
      </w:r>
      <w:r>
        <w:rPr>
          <w:rFonts w:ascii="Calibri" w:hAnsi="Calibri"/>
          <w:color w:val="3C3C3C"/>
          <w:sz w:val="21"/>
        </w:rPr>
        <w:t>The AI Gateway and Middleware service shall achieve 99.9% operational uptime. Fallback offline RAG lookup mode shall operate when SAP RFC gateway is unreachable.</w:t>
      </w:r>
    </w:p>
    <w:p>
      <w:pPr>
        <w:pStyle w:val="ListBullet"/>
        <w:spacing w:before="0" w:after="60" w:line="276" w:lineRule="auto"/>
      </w:pPr>
      <w:r>
        <w:rPr>
          <w:rFonts w:ascii="Calibri" w:hAnsi="Calibri"/>
          <w:b/>
          <w:color w:val="1E1E1E"/>
          <w:sz w:val="21"/>
        </w:rPr>
        <w:t xml:space="preserve">NFR-4 (Compatibility): </w:t>
      </w:r>
      <w:r>
        <w:rPr>
          <w:rFonts w:ascii="Calibri" w:hAnsi="Calibri"/>
          <w:color w:val="3C3C3C"/>
          <w:sz w:val="21"/>
        </w:rPr>
        <w:t>System shall seamlessly integrate with Eclipse ADT 3.32+ and VS Code ABAP Extension 1.85+. Target backend support includes SAP S/4HANA 1909 through 2023+.</w:t>
      </w:r>
    </w:p>
    <w:p>
      <w:pPr>
        <w:keepNext/>
        <w:spacing w:before="240" w:after="80"/>
      </w:pPr>
      <w:r>
        <w:rPr>
          <w:rFonts w:ascii="Calibri" w:hAnsi="Calibri"/>
          <w:b/>
          <w:color w:val="285A8C"/>
          <w:sz w:val="25"/>
        </w:rPr>
        <w:t>2.4 Use Case Scenarios</w:t>
      </w:r>
    </w:p>
    <w:p>
      <w:pPr>
        <w:keepNext/>
        <w:spacing w:before="160" w:after="40"/>
      </w:pPr>
      <w:r>
        <w:rPr>
          <w:rFonts w:ascii="Calibri" w:hAnsi="Calibri"/>
          <w:b/>
          <w:color w:val="0070D2"/>
          <w:sz w:val="22"/>
        </w:rPr>
        <w:t>Use Case UC-1: Refactoring Legacy SELECT Statements to ABAP 7.5+ Modern Constructs</w:t>
      </w:r>
    </w:p>
    <w:p>
      <w:pPr>
        <w:pStyle w:val="ListBullet"/>
        <w:spacing w:before="0" w:after="60" w:line="276" w:lineRule="auto"/>
      </w:pPr>
      <w:r>
        <w:rPr>
          <w:rFonts w:ascii="Calibri" w:hAnsi="Calibri"/>
          <w:b/>
          <w:color w:val="1E1E1E"/>
          <w:sz w:val="21"/>
        </w:rPr>
        <w:t xml:space="preserve">Actor: </w:t>
      </w:r>
      <w:r>
        <w:rPr>
          <w:rFonts w:ascii="Calibri" w:hAnsi="Calibri"/>
          <w:color w:val="3C3C3C"/>
          <w:sz w:val="21"/>
        </w:rPr>
        <w:t>Senior ABAP Developer</w:t>
      </w:r>
    </w:p>
    <w:p>
      <w:pPr>
        <w:pStyle w:val="ListBullet"/>
        <w:spacing w:before="0" w:after="60" w:line="276" w:lineRule="auto"/>
      </w:pPr>
      <w:r>
        <w:rPr>
          <w:rFonts w:ascii="Calibri" w:hAnsi="Calibri"/>
          <w:b/>
          <w:color w:val="1E1E1E"/>
          <w:sz w:val="21"/>
        </w:rPr>
        <w:t xml:space="preserve">Pre-condition: </w:t>
      </w:r>
      <w:r>
        <w:rPr>
          <w:rFonts w:ascii="Calibri" w:hAnsi="Calibri"/>
          <w:color w:val="3C3C3C"/>
          <w:sz w:val="21"/>
        </w:rPr>
        <w:t>Developer highlights legacy SELECT...ENDSELECT loop with repeated table reads in Eclipse ADT editor.</w:t>
      </w:r>
    </w:p>
    <w:p>
      <w:pPr>
        <w:pStyle w:val="ListBullet"/>
        <w:spacing w:before="0" w:after="60" w:line="276" w:lineRule="auto"/>
      </w:pPr>
      <w:r>
        <w:rPr>
          <w:rFonts w:ascii="Calibri" w:hAnsi="Calibri"/>
          <w:b/>
          <w:color w:val="1E1E1E"/>
          <w:sz w:val="21"/>
        </w:rPr>
        <w:t xml:space="preserve">Main Flow: </w:t>
      </w:r>
      <w:r>
        <w:rPr>
          <w:rFonts w:ascii="Calibri" w:hAnsi="Calibri"/>
          <w:color w:val="3C3C3C"/>
          <w:sz w:val="21"/>
        </w:rPr>
        <w:t>1. Developer triggers 'Refactor with Clean ABAP' code action.</w:t>
        <w:br/>
        <w:t>2. IDE plugin sends code snippet and AST context to Gateway.</w:t>
        <w:br/>
        <w:t>3. Gateway queries RAG vector store for ABAP 7.5+ Table Expressions and Array Fetch rules.</w:t>
        <w:br/>
        <w:t>4. Gateway prompts LLM to generate modern inline `SELECT ... INTO TABLE @DATA(lt_data)` and `VALUE #()` constructs.</w:t>
        <w:br/>
        <w:t>5. Gateway dispatches generated code to SAP RFC Syntax Checker.</w:t>
        <w:br/>
        <w:t>6. Modern code returned to IDE diff viewer for developer confirmation.</w:t>
      </w:r>
    </w:p>
    <w:p>
      <w:pPr>
        <w:pStyle w:val="ListBullet"/>
        <w:spacing w:before="0" w:after="60" w:line="276" w:lineRule="auto"/>
      </w:pPr>
      <w:r>
        <w:rPr>
          <w:rFonts w:ascii="Calibri" w:hAnsi="Calibri"/>
          <w:b/>
          <w:color w:val="1E1E1E"/>
          <w:sz w:val="21"/>
        </w:rPr>
        <w:t xml:space="preserve">Post-condition: </w:t>
      </w:r>
      <w:r>
        <w:rPr>
          <w:rFonts w:ascii="Calibri" w:hAnsi="Calibri"/>
          <w:color w:val="3C3C3C"/>
          <w:sz w:val="21"/>
        </w:rPr>
        <w:t>Code replaced with clean ABAP 7.5+ syntax passing all ATC performance checks.</w:t>
      </w:r>
    </w:p>
    <w:p>
      <w:pPr>
        <w:keepNext/>
        <w:spacing w:before="360" w:after="120"/>
      </w:pPr>
      <w:r>
        <w:rPr>
          <w:rFonts w:ascii="Calibri" w:hAnsi="Calibri"/>
          <w:b/>
          <w:color w:val="0050A0"/>
          <w:sz w:val="30"/>
        </w:rPr>
        <w:t>3. System Architecture &amp; Interaction Diagrams</w:t>
      </w:r>
    </w:p>
    <w:p>
      <w:pPr>
        <w:spacing w:before="0" w:after="120" w:line="276" w:lineRule="auto"/>
      </w:pPr>
      <w:r>
        <w:rPr>
          <w:rFonts w:ascii="Calibri" w:hAnsi="Calibri"/>
          <w:color w:val="323232"/>
          <w:sz w:val="21"/>
        </w:rPr>
        <w:t>The Virtual SAP ABAP Coding Assistant is built upon a 5-layer decoupled microservice architecture connecting developer IDEs to SAP BTP AI Core middleware and target SAP S/4HANA backend environments via gRPC/HTTPS and SAP RFC.</w:t>
      </w:r>
    </w:p>
    <w:p>
      <w:pPr>
        <w:spacing w:before="80"/>
      </w:pPr>
    </w:p>
    <w:p>
      <w:pPr>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sap_architecture_diagram_1788791210220.jpg"/>
                    <pic:cNvPicPr/>
                  </pic:nvPicPr>
                  <pic:blipFill>
                    <a:blip r:embed="rId9"/>
                    <a:stretch>
                      <a:fillRect/>
                    </a:stretch>
                  </pic:blipFill>
                  <pic:spPr>
                    <a:xfrm>
                      <a:off x="0" y="0"/>
                      <a:ext cx="5669280" cy="3164249"/>
                    </a:xfrm>
                    <a:prstGeom prst="rect"/>
                  </pic:spPr>
                </pic:pic>
              </a:graphicData>
            </a:graphic>
          </wp:inline>
        </w:drawing>
      </w:r>
    </w:p>
    <w:p>
      <w:pPr>
        <w:jc w:val="center"/>
      </w:pPr>
      <w:r>
        <w:rPr>
          <w:i/>
          <w:color w:val="646464"/>
          <w:sz w:val="18"/>
        </w:rPr>
        <w:t>Figure 3.1: 5-Layer Decoupled Architecture Diagram for Virtual SAP ABAP Assistant</w:t>
      </w:r>
    </w:p>
    <w:p>
      <w:pPr>
        <w:spacing w:after="120"/>
      </w:pPr>
    </w:p>
    <w:p>
      <w:pPr>
        <w:keepNext/>
        <w:spacing w:before="240" w:after="80"/>
      </w:pPr>
      <w:r>
        <w:rPr>
          <w:rFonts w:ascii="Calibri" w:hAnsi="Calibri"/>
          <w:b/>
          <w:color w:val="285A8C"/>
          <w:sz w:val="25"/>
        </w:rPr>
        <w:t>3.1 Request Processing Pipeline Flowchart</w:t>
      </w:r>
    </w:p>
    <w:tbl>
      <w:tblPr>
        <w:tblW w:type="auto" w:w="0"/>
        <w:jc w:val="center"/>
        <w:tblLayout w:type="fixed"/>
        <w:tblLook w:firstColumn="1" w:firstRow="1" w:lastColumn="0" w:lastRow="0" w:noHBand="0" w:noVBand="1" w:val="04A0"/>
      </w:tblPr>
      <w:tblGrid>
        <w:gridCol w:w="9360"/>
      </w:tblGrid>
      <w:tr>
        <w:tc>
          <w:tcPr>
            <w:tcW w:type="dxa" w:w="9360"/>
            <w:shd w:fill="272822"/>
            <w:tcMar>
              <w:top w:w="100" w:type="dxa"/>
              <w:bottom w:w="100" w:type="dxa"/>
              <w:left w:w="120" w:type="dxa"/>
              <w:right w:w="120" w:type="dxa"/>
            </w:tcMar>
          </w:tcPr>
          <w:p>
            <w:pPr>
              <w:spacing w:before="0" w:after="0"/>
            </w:pPr>
            <w:r>
              <w:rPr>
                <w:rFonts w:ascii="Consolas" w:hAnsi="Consolas"/>
                <w:color w:val="F8F8F2"/>
                <w:sz w:val="18"/>
              </w:rPr>
              <w:t>+-----------------------------------------------------------------------------------+</w:t>
              <w:br/>
              <w:t>|                            IDE DEVELOPER EDITOR (Client)                           |</w:t>
              <w:br/>
              <w:t>|  [User Types Code / Requests Action] -&gt; [Extract AST Window &amp; Surrounding Buffer]  |</w:t>
              <w:br/>
              <w:t>+------------------------------------------+----------------------------------------+</w:t>
              <w:br/>
              <w:t xml:space="preserve">                                           | HTTPS / gRPC Request (JSON Payload)</w:t>
              <w:br/>
              <w:t xml:space="preserve">                                           v</w:t>
              <w:br/>
              <w:t>+-----------------------------------------------------------------------------------+</w:t>
              <w:br/>
              <w:t>|                        LAYER 2: AI GATEWAY &amp; MIDDLEWARE                            |</w:t>
              <w:br/>
              <w:t>|  1. Validate JWT Token &amp; SAP IAS Session                                          |</w:t>
              <w:br/>
              <w:t>|  2. Execute PII Scrubbing (Mask Customer Z-Tables / Proprietary Schemas)          |</w:t>
              <w:br/>
              <w:t>|  3. Assemble System Prompt (Inject Target ABAP Version &amp; Clean ABAP Guidelines)   |</w:t>
              <w:br/>
              <w:t>+------------------------------------------+----------------------------------------+</w:t>
              <w:br/>
              <w:t xml:space="preserve">                                           | Vector Embeddings Query</w:t>
              <w:br/>
              <w:t xml:space="preserve">                                           v</w:t>
              <w:br/>
              <w:t>+-----------------------------------------------------------------------------------+</w:t>
              <w:br/>
              <w:t>|                        LAYER 3: RAG VECTOR KNOWLEDGE DB                           |</w:t>
              <w:br/>
              <w:t>|  [Query Qdrant Vector Store] -&gt; [Retrieve Top-K Relevant Clean ABAP Rules / Docs] |</w:t>
              <w:br/>
              <w:t>+------------------------------------------+----------------------------------------+</w:t>
              <w:br/>
              <w:t xml:space="preserve">                                           | Combined Context &amp; Code Prompt</w:t>
              <w:br/>
              <w:t xml:space="preserve">                                           v</w:t>
              <w:br/>
              <w:t>+-----------------------------------------------------------------------------------+</w:t>
              <w:br/>
              <w:t>|                        LAYER 4: LLM INFERENCE ENGINE                              |</w:t>
              <w:br/>
              <w:t>|  [Azure OpenAI / SAP BTP AI Core] -&gt; [Generate ABAP 7.5+ Code / RAP Scaffold]     |</w:t>
              <w:br/>
              <w:t>+------------------------------------------+----------------------------------------+</w:t>
              <w:br/>
              <w:t xml:space="preserve">                                           | Raw Generated Code Snippet</w:t>
              <w:br/>
              <w:t xml:space="preserve">                                           v</w:t>
              <w:br/>
              <w:t>+-----------------------------------------------------------------------------------+</w:t>
              <w:br/>
              <w:t>|                        LAYER 5: TARGET SAP S/4HANA BACKEND                        |</w:t>
              <w:br/>
              <w:t>|  [Execute RFC SYNTAX-CHECK Statement] -&gt; [Validate ATC Static Analysis Rules]     |</w:t>
              <w:br/>
              <w:t>+------------------------------------------+----------------------------------------+</w:t>
              <w:br/>
              <w:t xml:space="preserve">                                           | Validated Code + ATC Diagnostics</w:t>
              <w:br/>
              <w:t xml:space="preserve">                                           v</w:t>
              <w:br/>
              <w:t>+-----------------------------------------------------------------------------------+</w:t>
              <w:br/>
              <w:t>|                            IDE DEVELOPER EDITOR (Client)                           |</w:t>
              <w:br/>
              <w:t>|  [Display Inline Ghost Text / Render Diff Refactoring View / Apply 1-Click Fix]   |</w:t>
              <w:br/>
              <w:t>+-----------------------------------------------------------------------------------+</w:t>
            </w:r>
          </w:p>
        </w:tc>
      </w:tr>
    </w:tbl>
    <w:p>
      <w:pPr>
        <w:spacing w:after="80"/>
      </w:pPr>
    </w:p>
    <w:p>
      <w:pPr>
        <w:keepNext/>
        <w:spacing w:before="240" w:after="80"/>
      </w:pPr>
      <w:r>
        <w:rPr>
          <w:rFonts w:ascii="Calibri" w:hAnsi="Calibri"/>
          <w:b/>
          <w:color w:val="285A8C"/>
          <w:sz w:val="25"/>
        </w:rPr>
        <w:t>3.2 Sequence Diagram: Real-Time Inline Completion &amp; RFC Check</w:t>
      </w:r>
    </w:p>
    <w:p>
      <w:pPr>
        <w:spacing w:before="0" w:after="120" w:line="276" w:lineRule="auto"/>
      </w:pPr>
      <w:r>
        <w:rPr>
          <w:rFonts w:ascii="Calibri" w:hAnsi="Calibri"/>
          <w:color w:val="323232"/>
          <w:sz w:val="21"/>
        </w:rPr>
        <w:t>The following sequence diagram outlines the sub-second execution path during an inline completion trigger event:</w:t>
      </w:r>
    </w:p>
    <w:tbl>
      <w:tblPr>
        <w:tblW w:type="auto" w:w="0"/>
        <w:jc w:val="center"/>
        <w:tblLayout w:type="fixed"/>
        <w:tblLook w:firstColumn="1" w:firstRow="1" w:lastColumn="0" w:lastRow="0" w:noHBand="0" w:noVBand="1" w:val="04A0"/>
      </w:tblPr>
      <w:tblGrid>
        <w:gridCol w:w="9360"/>
      </w:tblGrid>
      <w:tr>
        <w:tc>
          <w:tcPr>
            <w:tcW w:type="dxa" w:w="9360"/>
            <w:shd w:fill="272822"/>
            <w:tcMar>
              <w:top w:w="100" w:type="dxa"/>
              <w:bottom w:w="100" w:type="dxa"/>
              <w:left w:w="120" w:type="dxa"/>
              <w:right w:w="120" w:type="dxa"/>
            </w:tcMar>
          </w:tcPr>
          <w:p>
            <w:pPr>
              <w:spacing w:before="0" w:after="0"/>
            </w:pPr>
            <w:r>
              <w:rPr>
                <w:rFonts w:ascii="Consolas" w:hAnsi="Consolas"/>
                <w:color w:val="F8F8F2"/>
                <w:sz w:val="18"/>
              </w:rPr>
              <w:t>Developer IDE             Gateway / Middleware         Vector DB (Qdrant)       LLM Core            SAP S/4HANA (RFC)</w:t>
              <w:br/>
              <w:t xml:space="preserve">     |                               |                         |                    |                      |</w:t>
              <w:br/>
              <w:t xml:space="preserve">     |-- 1. Trigger Completion -----&gt;|                         |                    |                      |</w:t>
              <w:br/>
              <w:t xml:space="preserve">     |   (Code, Cursor Pos, AST)     |-- 2. Query Embeddings -&gt;|                    |                      |</w:t>
              <w:br/>
              <w:t xml:space="preserve">     |                               |&lt;-- 3. Top-K Rules ------|                    |                      |</w:t>
              <w:br/>
              <w:t xml:space="preserve">     |                               |                                              |                      |</w:t>
              <w:br/>
              <w:t xml:space="preserve">     |                               |-- 4. Dispatch Prompt (Context + Code) ------&gt;|                      |</w:t>
              <w:br/>
              <w:t xml:space="preserve">     |                               |&lt;-- 5. Raw Generated Code --------------------|                      |</w:t>
              <w:br/>
              <w:t xml:space="preserve">     |                               |                                                                     |</w:t>
              <w:br/>
              <w:t xml:space="preserve">     |                               |-- 6. Execute RFC Syntax Check -------------------------------------&gt;|</w:t>
              <w:br/>
              <w:t xml:space="preserve">     |                               |&lt;-- 7. RFC Syntax Verification Result OK / Errors ------------------|</w:t>
              <w:br/>
              <w:t xml:space="preserve">     |                               |</w:t>
              <w:br/>
              <w:t xml:space="preserve">     |&lt;-- 8. Return Ghost Text ------|</w:t>
              <w:br/>
              <w:t xml:space="preserve">     |    (Code + Syntax Status)     |</w:t>
            </w:r>
          </w:p>
        </w:tc>
      </w:tr>
    </w:tbl>
    <w:p>
      <w:pPr>
        <w:spacing w:after="80"/>
      </w:pPr>
    </w:p>
    <w:p>
      <w:pPr>
        <w:keepNext/>
        <w:spacing w:before="360" w:after="120"/>
      </w:pPr>
      <w:r>
        <w:rPr>
          <w:rFonts w:ascii="Calibri" w:hAnsi="Calibri"/>
          <w:b/>
          <w:color w:val="0050A0"/>
          <w:sz w:val="30"/>
        </w:rPr>
        <w:t>4. Detailed Functional Module Specification</w:t>
      </w:r>
    </w:p>
    <w:p>
      <w:pPr>
        <w:spacing w:before="0" w:after="120" w:line="276" w:lineRule="auto"/>
      </w:pPr>
      <w:r>
        <w:rPr>
          <w:rFonts w:ascii="Calibri" w:hAnsi="Calibri"/>
          <w:color w:val="323232"/>
          <w:sz w:val="21"/>
        </w:rPr>
        <w:t>The Virtual SAP ABAP Coding Assistant application is divided into five core functional modules, each possessing modular, decoupled responsibilities and standardized API contracts.</w:t>
      </w:r>
    </w:p>
    <w:p>
      <w:pPr>
        <w:keepNext/>
        <w:spacing w:before="240" w:after="80"/>
      </w:pPr>
      <w:r>
        <w:rPr>
          <w:rFonts w:ascii="Calibri" w:hAnsi="Calibri"/>
          <w:b/>
          <w:color w:val="285A8C"/>
          <w:sz w:val="25"/>
        </w:rPr>
        <w:t>4.1 Module 1: Client IDE Plugin Engine (Eclipse ADT &amp; VS Code)</w:t>
      </w:r>
    </w:p>
    <w:p>
      <w:pPr>
        <w:pStyle w:val="ListBullet"/>
        <w:spacing w:before="0" w:after="60" w:line="276" w:lineRule="auto"/>
      </w:pPr>
      <w:r>
        <w:rPr>
          <w:rFonts w:ascii="Calibri" w:hAnsi="Calibri"/>
          <w:b/>
          <w:color w:val="1E1E1E"/>
          <w:sz w:val="21"/>
        </w:rPr>
        <w:t xml:space="preserve">Purpose: </w:t>
      </w:r>
      <w:r>
        <w:rPr>
          <w:rFonts w:ascii="Calibri" w:hAnsi="Calibri"/>
          <w:color w:val="3C3C3C"/>
          <w:sz w:val="21"/>
        </w:rPr>
        <w:t>Manages editor event listeners, inline ghost-text rendering, side-panel chat UI, CodeLens actions, and ATC error highlighting.</w:t>
      </w:r>
    </w:p>
    <w:p>
      <w:pPr>
        <w:pStyle w:val="ListBullet"/>
        <w:spacing w:before="0" w:after="60" w:line="276" w:lineRule="auto"/>
      </w:pPr>
      <w:r>
        <w:rPr>
          <w:rFonts w:ascii="Calibri" w:hAnsi="Calibri"/>
          <w:b/>
          <w:color w:val="1E1E1E"/>
          <w:sz w:val="21"/>
        </w:rPr>
        <w:t xml:space="preserve">Inputs: </w:t>
      </w:r>
      <w:r>
        <w:rPr>
          <w:rFonts w:ascii="Calibri" w:hAnsi="Calibri"/>
          <w:color w:val="3C3C3C"/>
          <w:sz w:val="21"/>
        </w:rPr>
        <w:t>Keyboard cursor movements, trigger key combinations (e.g., Ctrl+Space), document change events.</w:t>
      </w:r>
    </w:p>
    <w:p>
      <w:pPr>
        <w:pStyle w:val="ListBullet"/>
        <w:spacing w:before="0" w:after="60" w:line="276" w:lineRule="auto"/>
      </w:pPr>
      <w:r>
        <w:rPr>
          <w:rFonts w:ascii="Calibri" w:hAnsi="Calibri"/>
          <w:b/>
          <w:color w:val="1E1E1E"/>
          <w:sz w:val="21"/>
        </w:rPr>
        <w:t xml:space="preserve">Outputs: </w:t>
      </w:r>
      <w:r>
        <w:rPr>
          <w:rFonts w:ascii="Calibri" w:hAnsi="Calibri"/>
          <w:color w:val="3C3C3C"/>
          <w:sz w:val="21"/>
        </w:rPr>
        <w:t>gRPC request payloads to Gateway; UI ghost text overlays; side-panel HTML webview streams.</w:t>
      </w:r>
    </w:p>
    <w:p>
      <w:pPr>
        <w:pStyle w:val="ListBullet"/>
        <w:spacing w:before="0" w:after="60" w:line="276" w:lineRule="auto"/>
      </w:pPr>
      <w:r>
        <w:rPr>
          <w:rFonts w:ascii="Calibri" w:hAnsi="Calibri"/>
          <w:b/>
          <w:color w:val="1E1E1E"/>
          <w:sz w:val="21"/>
        </w:rPr>
        <w:t xml:space="preserve">Key Subcomponents: </w:t>
      </w:r>
      <w:r>
        <w:rPr>
          <w:rFonts w:ascii="Calibri" w:hAnsi="Calibri"/>
          <w:color w:val="3C3C3C"/>
          <w:sz w:val="21"/>
        </w:rPr>
        <w:t>1. AST Context Extractor: Captures current class method signature, local variable definitions, and preceding 50 lines buffer.</w:t>
        <w:br/>
        <w:t>2. Ghost Text Renderer: Displays inline speculative code completions.</w:t>
        <w:br/>
        <w:t>3. ATC Alert Controller: Annotates inline code lines with red/yellow squiggly error indicators.</w:t>
      </w:r>
    </w:p>
    <w:p>
      <w:pPr>
        <w:keepNext/>
        <w:spacing w:before="240" w:after="80"/>
      </w:pPr>
      <w:r>
        <w:rPr>
          <w:rFonts w:ascii="Calibri" w:hAnsi="Calibri"/>
          <w:b/>
          <w:color w:val="285A8C"/>
          <w:sz w:val="25"/>
        </w:rPr>
        <w:t>4.2 Module 2: AI Gateway &amp; Context Orchestrator</w:t>
      </w:r>
    </w:p>
    <w:p>
      <w:pPr>
        <w:pStyle w:val="ListBullet"/>
        <w:spacing w:before="0" w:after="60" w:line="276" w:lineRule="auto"/>
      </w:pPr>
      <w:r>
        <w:rPr>
          <w:rFonts w:ascii="Calibri" w:hAnsi="Calibri"/>
          <w:b/>
          <w:color w:val="1E1E1E"/>
          <w:sz w:val="21"/>
        </w:rPr>
        <w:t xml:space="preserve">Purpose: </w:t>
      </w:r>
      <w:r>
        <w:rPr>
          <w:rFonts w:ascii="Calibri" w:hAnsi="Calibri"/>
          <w:color w:val="3C3C3C"/>
          <w:sz w:val="21"/>
        </w:rPr>
        <w:t>Central middleware orchestrator handling authentication, rate limiting, PII scrubbing, context assembly, and LLM prompt dispatch.</w:t>
      </w:r>
    </w:p>
    <w:p>
      <w:pPr>
        <w:pStyle w:val="ListBullet"/>
        <w:spacing w:before="0" w:after="60" w:line="276" w:lineRule="auto"/>
      </w:pPr>
      <w:r>
        <w:rPr>
          <w:rFonts w:ascii="Calibri" w:hAnsi="Calibri"/>
          <w:b/>
          <w:color w:val="1E1E1E"/>
          <w:sz w:val="21"/>
        </w:rPr>
        <w:t xml:space="preserve">Inputs: </w:t>
      </w:r>
      <w:r>
        <w:rPr>
          <w:rFonts w:ascii="Calibri" w:hAnsi="Calibri"/>
          <w:color w:val="3C3C3C"/>
          <w:sz w:val="21"/>
        </w:rPr>
        <w:t>gRPC / REST JSON payloads from Client IDE Plugin.</w:t>
      </w:r>
    </w:p>
    <w:p>
      <w:pPr>
        <w:pStyle w:val="ListBullet"/>
        <w:spacing w:before="0" w:after="60" w:line="276" w:lineRule="auto"/>
      </w:pPr>
      <w:r>
        <w:rPr>
          <w:rFonts w:ascii="Calibri" w:hAnsi="Calibri"/>
          <w:b/>
          <w:color w:val="1E1E1E"/>
          <w:sz w:val="21"/>
        </w:rPr>
        <w:t xml:space="preserve">Outputs: </w:t>
      </w:r>
      <w:r>
        <w:rPr>
          <w:rFonts w:ascii="Calibri" w:hAnsi="Calibri"/>
          <w:color w:val="3C3C3C"/>
          <w:sz w:val="21"/>
        </w:rPr>
        <w:t>Sanitized LLM prompts; filtered code completion payloads delivered back to IDE.</w:t>
      </w:r>
    </w:p>
    <w:p>
      <w:pPr>
        <w:pStyle w:val="ListBullet"/>
        <w:spacing w:before="0" w:after="60" w:line="276" w:lineRule="auto"/>
      </w:pPr>
      <w:r>
        <w:rPr>
          <w:rFonts w:ascii="Calibri" w:hAnsi="Calibri"/>
          <w:b/>
          <w:color w:val="1E1E1E"/>
          <w:sz w:val="21"/>
        </w:rPr>
        <w:t xml:space="preserve">Key Subcomponents: </w:t>
      </w:r>
      <w:r>
        <w:rPr>
          <w:rFonts w:ascii="Calibri" w:hAnsi="Calibri"/>
          <w:color w:val="3C3C3C"/>
          <w:sz w:val="21"/>
        </w:rPr>
        <w:t>1. PII Scrubbing Engine: Regex and AST scanner masking proprietary company names, confidential data fields, and specific SAP Z-table schemas.</w:t>
        <w:br/>
        <w:t>2. Prompt Sanitizer: Enforces Clean ABAP guidelines into system instructions.</w:t>
        <w:br/>
        <w:t>3. Token Budget Allocator: Trims surrounding code buffers to maintain prompt window limits.</w:t>
      </w:r>
    </w:p>
    <w:p>
      <w:pPr>
        <w:keepNext/>
        <w:spacing w:before="240" w:after="80"/>
      </w:pPr>
      <w:r>
        <w:rPr>
          <w:rFonts w:ascii="Calibri" w:hAnsi="Calibri"/>
          <w:b/>
          <w:color w:val="285A8C"/>
          <w:sz w:val="25"/>
        </w:rPr>
        <w:t>4.3 Module 3: Clean ABAP &amp; SAP Keyword RAG Engine</w:t>
      </w:r>
    </w:p>
    <w:p>
      <w:pPr>
        <w:pStyle w:val="ListBullet"/>
        <w:spacing w:before="0" w:after="60" w:line="276" w:lineRule="auto"/>
      </w:pPr>
      <w:r>
        <w:rPr>
          <w:rFonts w:ascii="Calibri" w:hAnsi="Calibri"/>
          <w:b/>
          <w:color w:val="1E1E1E"/>
          <w:sz w:val="21"/>
        </w:rPr>
        <w:t xml:space="preserve">Purpose: </w:t>
      </w:r>
      <w:r>
        <w:rPr>
          <w:rFonts w:ascii="Calibri" w:hAnsi="Calibri"/>
          <w:color w:val="3C3C3C"/>
          <w:sz w:val="21"/>
        </w:rPr>
        <w:t>Provides semantic retrieval of official SAP ABAP 7.5+ syntax rules, Clean ABAP repository guidelines, and enterprise BAPI documentation.</w:t>
      </w:r>
    </w:p>
    <w:p>
      <w:pPr>
        <w:pStyle w:val="ListBullet"/>
        <w:spacing w:before="0" w:after="60" w:line="276" w:lineRule="auto"/>
      </w:pPr>
      <w:r>
        <w:rPr>
          <w:rFonts w:ascii="Calibri" w:hAnsi="Calibri"/>
          <w:b/>
          <w:color w:val="1E1E1E"/>
          <w:sz w:val="21"/>
        </w:rPr>
        <w:t xml:space="preserve">Inputs: </w:t>
      </w:r>
      <w:r>
        <w:rPr>
          <w:rFonts w:ascii="Calibri" w:hAnsi="Calibri"/>
          <w:color w:val="3C3C3C"/>
          <w:sz w:val="21"/>
        </w:rPr>
        <w:t>Text embedding vector derived from developer prompt or AST snippet.</w:t>
      </w:r>
    </w:p>
    <w:p>
      <w:pPr>
        <w:pStyle w:val="ListBullet"/>
        <w:spacing w:before="0" w:after="60" w:line="276" w:lineRule="auto"/>
      </w:pPr>
      <w:r>
        <w:rPr>
          <w:rFonts w:ascii="Calibri" w:hAnsi="Calibri"/>
          <w:b/>
          <w:color w:val="1E1E1E"/>
          <w:sz w:val="21"/>
        </w:rPr>
        <w:t xml:space="preserve">Outputs: </w:t>
      </w:r>
      <w:r>
        <w:rPr>
          <w:rFonts w:ascii="Calibri" w:hAnsi="Calibri"/>
          <w:color w:val="3C3C3C"/>
          <w:sz w:val="21"/>
        </w:rPr>
        <w:t>Top-K relevance matched documentation chunks and style rules.</w:t>
      </w:r>
    </w:p>
    <w:p>
      <w:pPr>
        <w:pStyle w:val="ListBullet"/>
        <w:spacing w:before="0" w:after="60" w:line="276" w:lineRule="auto"/>
      </w:pPr>
      <w:r>
        <w:rPr>
          <w:rFonts w:ascii="Calibri" w:hAnsi="Calibri"/>
          <w:b/>
          <w:color w:val="1E1E1E"/>
          <w:sz w:val="21"/>
        </w:rPr>
        <w:t xml:space="preserve">Key Subcomponents: </w:t>
      </w:r>
      <w:r>
        <w:rPr>
          <w:rFonts w:ascii="Calibri" w:hAnsi="Calibri"/>
          <w:color w:val="3C3C3C"/>
          <w:sz w:val="21"/>
        </w:rPr>
        <w:t>1. Qdrant Vector Store: High-performance vector database storing 15,000+ indexed ABAP documentation chunks.</w:t>
        <w:br/>
        <w:t>2. Text-Embedding-3-Large Model: Generates 1536-dimensional embeddings for incoming queries.</w:t>
      </w:r>
    </w:p>
    <w:p>
      <w:pPr>
        <w:keepNext/>
        <w:spacing w:before="240" w:after="80"/>
      </w:pPr>
      <w:r>
        <w:rPr>
          <w:rFonts w:ascii="Calibri" w:hAnsi="Calibri"/>
          <w:b/>
          <w:color w:val="285A8C"/>
          <w:sz w:val="25"/>
        </w:rPr>
        <w:t>4.4 Module 4: SAP RFC Syntax &amp; ATC Verification Gateway</w:t>
      </w:r>
    </w:p>
    <w:p>
      <w:pPr>
        <w:pStyle w:val="ListBullet"/>
        <w:spacing w:before="0" w:after="60" w:line="276" w:lineRule="auto"/>
      </w:pPr>
      <w:r>
        <w:rPr>
          <w:rFonts w:ascii="Calibri" w:hAnsi="Calibri"/>
          <w:b/>
          <w:color w:val="1E1E1E"/>
          <w:sz w:val="21"/>
        </w:rPr>
        <w:t xml:space="preserve">Purpose: </w:t>
      </w:r>
      <w:r>
        <w:rPr>
          <w:rFonts w:ascii="Calibri" w:hAnsi="Calibri"/>
          <w:color w:val="3C3C3C"/>
          <w:sz w:val="21"/>
        </w:rPr>
        <w:t>Validates LLM-generated code snippets against actual target SAP S/4HANA backend syntax rules and static analysis checkers via RFC connection pooling.</w:t>
      </w:r>
    </w:p>
    <w:p>
      <w:pPr>
        <w:pStyle w:val="ListBullet"/>
        <w:spacing w:before="0" w:after="60" w:line="276" w:lineRule="auto"/>
      </w:pPr>
      <w:r>
        <w:rPr>
          <w:rFonts w:ascii="Calibri" w:hAnsi="Calibri"/>
          <w:b/>
          <w:color w:val="1E1E1E"/>
          <w:sz w:val="21"/>
        </w:rPr>
        <w:t xml:space="preserve">Inputs: </w:t>
      </w:r>
      <w:r>
        <w:rPr>
          <w:rFonts w:ascii="Calibri" w:hAnsi="Calibri"/>
          <w:color w:val="3C3C3C"/>
          <w:sz w:val="21"/>
        </w:rPr>
        <w:t>Generated ABAP code string; target ABAP program/class context.</w:t>
      </w:r>
    </w:p>
    <w:p>
      <w:pPr>
        <w:pStyle w:val="ListBullet"/>
        <w:spacing w:before="0" w:after="60" w:line="276" w:lineRule="auto"/>
      </w:pPr>
      <w:r>
        <w:rPr>
          <w:rFonts w:ascii="Calibri" w:hAnsi="Calibri"/>
          <w:b/>
          <w:color w:val="1E1E1E"/>
          <w:sz w:val="21"/>
        </w:rPr>
        <w:t xml:space="preserve">Outputs: </w:t>
      </w:r>
      <w:r>
        <w:rPr>
          <w:rFonts w:ascii="Calibri" w:hAnsi="Calibri"/>
          <w:color w:val="3C3C3C"/>
          <w:sz w:val="21"/>
        </w:rPr>
        <w:t>Syntax check result (Success / Line Error Diagnostics); ATC static analysis priority findings (P1/P2/P3).</w:t>
      </w:r>
    </w:p>
    <w:p>
      <w:pPr>
        <w:pStyle w:val="ListBullet"/>
        <w:spacing w:before="0" w:after="60" w:line="276" w:lineRule="auto"/>
      </w:pPr>
      <w:r>
        <w:rPr>
          <w:rFonts w:ascii="Calibri" w:hAnsi="Calibri"/>
          <w:b/>
          <w:color w:val="1E1E1E"/>
          <w:sz w:val="21"/>
        </w:rPr>
        <w:t xml:space="preserve">Key Subcomponents: </w:t>
      </w:r>
      <w:r>
        <w:rPr>
          <w:rFonts w:ascii="Calibri" w:hAnsi="Calibri"/>
          <w:color w:val="3C3C3C"/>
          <w:sz w:val="21"/>
        </w:rPr>
        <w:t>1. SAP PyRFC Connection Pool: Maintains high-throughput RFC connections to SAP application server.</w:t>
        <w:br/>
        <w:t>2. RFC Function Module /ZAI/SYNTAX_CHECK: Executes native ABAP SYNTAX-CHECK STATEMENT.</w:t>
        <w:br/>
        <w:t>3. RFC Function Module /ZAI/EXECUTE_ATC: Invokes SAP ABAP Test Cockpit framework headlessly.</w:t>
      </w:r>
    </w:p>
    <w:p>
      <w:pPr>
        <w:keepNext/>
        <w:spacing w:before="240" w:after="80"/>
      </w:pPr>
      <w:r>
        <w:rPr>
          <w:rFonts w:ascii="Calibri" w:hAnsi="Calibri"/>
          <w:b/>
          <w:color w:val="285A8C"/>
          <w:sz w:val="25"/>
        </w:rPr>
        <w:t>4.5 Module 5: ABAP Unit Test &amp; RAP CDS Code Generator Module</w:t>
      </w:r>
    </w:p>
    <w:p>
      <w:pPr>
        <w:pStyle w:val="ListBullet"/>
        <w:spacing w:before="0" w:after="60" w:line="276" w:lineRule="auto"/>
      </w:pPr>
      <w:r>
        <w:rPr>
          <w:rFonts w:ascii="Calibri" w:hAnsi="Calibri"/>
          <w:b/>
          <w:color w:val="1E1E1E"/>
          <w:sz w:val="21"/>
        </w:rPr>
        <w:t xml:space="preserve">Purpose: </w:t>
      </w:r>
      <w:r>
        <w:rPr>
          <w:rFonts w:ascii="Calibri" w:hAnsi="Calibri"/>
          <w:color w:val="3C3C3C"/>
          <w:sz w:val="21"/>
        </w:rPr>
        <w:t>Specialized code generation pipeline for constructing ABAP Unit test classes and CDS/RAP framework artifacts.</w:t>
      </w:r>
    </w:p>
    <w:p>
      <w:pPr>
        <w:pStyle w:val="ListBullet"/>
        <w:spacing w:before="0" w:after="60" w:line="276" w:lineRule="auto"/>
      </w:pPr>
      <w:r>
        <w:rPr>
          <w:rFonts w:ascii="Calibri" w:hAnsi="Calibri"/>
          <w:b/>
          <w:color w:val="1E1E1E"/>
          <w:sz w:val="21"/>
        </w:rPr>
        <w:t xml:space="preserve">Inputs: </w:t>
      </w:r>
      <w:r>
        <w:rPr>
          <w:rFonts w:ascii="Calibri" w:hAnsi="Calibri"/>
          <w:color w:val="3C3C3C"/>
          <w:sz w:val="21"/>
        </w:rPr>
        <w:t>Target custom class method signature; database table name or entity schema.</w:t>
      </w:r>
    </w:p>
    <w:p>
      <w:pPr>
        <w:pStyle w:val="ListBullet"/>
        <w:spacing w:before="0" w:after="60" w:line="276" w:lineRule="auto"/>
      </w:pPr>
      <w:r>
        <w:rPr>
          <w:rFonts w:ascii="Calibri" w:hAnsi="Calibri"/>
          <w:b/>
          <w:color w:val="1E1E1E"/>
          <w:sz w:val="21"/>
        </w:rPr>
        <w:t xml:space="preserve">Outputs: </w:t>
      </w:r>
      <w:r>
        <w:rPr>
          <w:rFonts w:ascii="Calibri" w:hAnsi="Calibri"/>
          <w:color w:val="3C3C3C"/>
          <w:sz w:val="21"/>
        </w:rPr>
        <w:t>Complete ABAP Unit test class scaffold (CL_ABAP_UNIT_ASSERT); CDS View DDL (DEFINE VIEW ENTITY) and Behavior Definition (BDEF).</w:t>
      </w:r>
    </w:p>
    <w:p>
      <w:pPr>
        <w:keepNext/>
        <w:spacing w:before="360" w:after="120"/>
      </w:pPr>
      <w:r>
        <w:rPr>
          <w:rFonts w:ascii="Calibri" w:hAnsi="Calibri"/>
          <w:b/>
          <w:color w:val="0050A0"/>
          <w:sz w:val="30"/>
        </w:rPr>
        <w:t>5. Data Flows, Input/Output Schemas &amp; Data Dictionary</w:t>
      </w:r>
    </w:p>
    <w:p>
      <w:pPr>
        <w:spacing w:before="0" w:after="120" w:line="276" w:lineRule="auto"/>
      </w:pPr>
      <w:r>
        <w:rPr>
          <w:rFonts w:ascii="Calibri" w:hAnsi="Calibri"/>
          <w:color w:val="323232"/>
          <w:sz w:val="21"/>
        </w:rPr>
        <w:t>Communication between components uses strictly typed JSON payloads over gRPC/HTTPS. Below are the definitive API data schemas.</w:t>
      </w:r>
    </w:p>
    <w:p>
      <w:pPr>
        <w:keepNext/>
        <w:spacing w:before="240" w:after="80"/>
      </w:pPr>
      <w:r>
        <w:rPr>
          <w:rFonts w:ascii="Calibri" w:hAnsi="Calibri"/>
          <w:b/>
          <w:color w:val="285A8C"/>
          <w:sz w:val="25"/>
        </w:rPr>
        <w:t>5.1 Inline Completion Request Schema (JSON)</w:t>
      </w:r>
    </w:p>
    <w:tbl>
      <w:tblPr>
        <w:tblW w:type="auto" w:w="0"/>
        <w:jc w:val="center"/>
        <w:tblLayout w:type="fixed"/>
        <w:tblLook w:firstColumn="1" w:firstRow="1" w:lastColumn="0" w:lastRow="0" w:noHBand="0" w:noVBand="1" w:val="04A0"/>
      </w:tblPr>
      <w:tblGrid>
        <w:gridCol w:w="9360"/>
      </w:tblGrid>
      <w:tr>
        <w:tc>
          <w:tcPr>
            <w:tcW w:type="dxa" w:w="9360"/>
            <w:shd w:fill="272822"/>
            <w:tcMar>
              <w:top w:w="100" w:type="dxa"/>
              <w:bottom w:w="100" w:type="dxa"/>
              <w:left w:w="120" w:type="dxa"/>
              <w:right w:w="120" w:type="dxa"/>
            </w:tcMar>
          </w:tcPr>
          <w:p>
            <w:pPr>
              <w:spacing w:before="0" w:after="0"/>
            </w:pPr>
            <w:r>
              <w:rPr>
                <w:rFonts w:ascii="Consolas" w:hAnsi="Consolas"/>
                <w:color w:val="F8F8F2"/>
                <w:sz w:val="18"/>
              </w:rPr>
              <w:t>{</w:t>
              <w:br/>
              <w:t xml:space="preserve">  "$schema": "http://json-schema.org/draft-07/schema#",</w:t>
              <w:br/>
              <w:t xml:space="preserve">  "title": "InlineCompletionRequest",</w:t>
              <w:br/>
              <w:t xml:space="preserve">  "type": "object",</w:t>
              <w:br/>
              <w:t xml:space="preserve">  "properties": {</w:t>
              <w:br/>
              <w:t xml:space="preserve">    "requestId": { "type": "string", "format": "uuid" },</w:t>
              <w:br/>
              <w:t xml:space="preserve">    "sapSystemId": { "type": "string", "example": "S4H_CLNT_100" },</w:t>
              <w:br/>
              <w:t xml:space="preserve">    "abapTargetRelease": { "type": "string", "example": "7.54" },</w:t>
              <w:br/>
              <w:t xml:space="preserve">    "fileName": { "type": "string", "example": "zcl_sales_calculator.clas.abap" },</w:t>
              <w:br/>
              <w:t xml:space="preserve">    "cursorPosition": {</w:t>
              <w:br/>
              <w:t xml:space="preserve">      "type": "object",</w:t>
              <w:br/>
              <w:t xml:space="preserve">      "properties": {</w:t>
              <w:br/>
              <w:t xml:space="preserve">        "line": { "type": "integer", "example": 45 },</w:t>
              <w:br/>
              <w:t xml:space="preserve">        "column": { "type": "integer", "example": 18 }</w:t>
              <w:br/>
              <w:t xml:space="preserve">      },</w:t>
              <w:br/>
              <w:t xml:space="preserve">      "required": ["line", "column"]</w:t>
              <w:br/>
              <w:t xml:space="preserve">    },</w:t>
              <w:br/>
              <w:t xml:space="preserve">    "codeContext": {</w:t>
              <w:br/>
              <w:t xml:space="preserve">      "type": "object",</w:t>
              <w:br/>
              <w:t xml:space="preserve">      "properties": {</w:t>
              <w:br/>
              <w:t xml:space="preserve">        "precedingBuffer": { "type": "string" },</w:t>
              <w:br/>
              <w:t xml:space="preserve">        "followingBuffer": { "type": "string" },</w:t>
              <w:br/>
              <w:t xml:space="preserve">        "currentMethodScope": { "type": "string", "example": "CALCULATE_DISCOUNT" }</w:t>
              <w:br/>
              <w:t xml:space="preserve">      },</w:t>
              <w:br/>
              <w:t xml:space="preserve">      "required": ["precedingBuffer"]</w:t>
              <w:br/>
              <w:t xml:space="preserve">    }</w:t>
              <w:br/>
              <w:t xml:space="preserve">  },</w:t>
              <w:br/>
              <w:t xml:space="preserve">  "required": ["requestId", "sapSystemId", "fileName", "cursorPosition", "codeContext"]</w:t>
              <w:br/>
              <w:t>}</w:t>
            </w:r>
          </w:p>
        </w:tc>
      </w:tr>
    </w:tbl>
    <w:p>
      <w:pPr>
        <w:spacing w:after="80"/>
      </w:pPr>
    </w:p>
    <w:p>
      <w:pPr>
        <w:keepNext/>
        <w:spacing w:before="240" w:after="80"/>
      </w:pPr>
      <w:r>
        <w:rPr>
          <w:rFonts w:ascii="Calibri" w:hAnsi="Calibri"/>
          <w:b/>
          <w:color w:val="285A8C"/>
          <w:sz w:val="25"/>
        </w:rPr>
        <w:t>5.2 Inline Completion Response Schema (JSON)</w:t>
      </w:r>
    </w:p>
    <w:tbl>
      <w:tblPr>
        <w:tblW w:type="auto" w:w="0"/>
        <w:jc w:val="center"/>
        <w:tblLayout w:type="fixed"/>
        <w:tblLook w:firstColumn="1" w:firstRow="1" w:lastColumn="0" w:lastRow="0" w:noHBand="0" w:noVBand="1" w:val="04A0"/>
      </w:tblPr>
      <w:tblGrid>
        <w:gridCol w:w="9360"/>
      </w:tblGrid>
      <w:tr>
        <w:tc>
          <w:tcPr>
            <w:tcW w:type="dxa" w:w="9360"/>
            <w:shd w:fill="272822"/>
            <w:tcMar>
              <w:top w:w="100" w:type="dxa"/>
              <w:bottom w:w="100" w:type="dxa"/>
              <w:left w:w="120" w:type="dxa"/>
              <w:right w:w="120" w:type="dxa"/>
            </w:tcMar>
          </w:tcPr>
          <w:p>
            <w:pPr>
              <w:spacing w:before="0" w:after="0"/>
            </w:pPr>
            <w:r>
              <w:rPr>
                <w:rFonts w:ascii="Consolas" w:hAnsi="Consolas"/>
                <w:color w:val="F8F8F2"/>
                <w:sz w:val="18"/>
              </w:rPr>
              <w:t>{</w:t>
              <w:br/>
              <w:t xml:space="preserve">  "$schema": "http://json-schema.org/draft-07/schema#",</w:t>
              <w:br/>
              <w:t xml:space="preserve">  "title": "InlineCompletionResponse",</w:t>
              <w:br/>
              <w:t xml:space="preserve">  "type": "object",</w:t>
              <w:br/>
              <w:t xml:space="preserve">  "properties": {</w:t>
              <w:br/>
              <w:t xml:space="preserve">    "requestId": { "type": "string", "format": "uuid" },</w:t>
              <w:br/>
              <w:t xml:space="preserve">    "completionText": { "type": "string", "example": "DATA(lt_items) = VALUE tt_items( ( matnr = 'M-10' kwmeng = 5 ) )." },</w:t>
              <w:br/>
              <w:t xml:space="preserve">    "rfcSyntaxCheck": {</w:t>
              <w:br/>
              <w:t xml:space="preserve">      "type": "object",</w:t>
              <w:br/>
              <w:t xml:space="preserve">      "properties": {</w:t>
              <w:br/>
              <w:t xml:space="preserve">        "isValid": { "type": "boolean", "example": true },</w:t>
              <w:br/>
              <w:t xml:space="preserve">        "lineError": { "type": "integer", "example": 0 },</w:t>
              <w:br/>
              <w:t xml:space="preserve">        "errorMessage": { "type": "string", "example": "" }</w:t>
              <w:br/>
              <w:t xml:space="preserve">      },</w:t>
              <w:br/>
              <w:t xml:space="preserve">      "required": ["isValid"]</w:t>
              <w:br/>
              <w:t xml:space="preserve">    },</w:t>
              <w:br/>
              <w:t xml:space="preserve">    "ragReferences": {</w:t>
              <w:br/>
              <w:t xml:space="preserve">      "type": "array",</w:t>
              <w:br/>
              <w:t xml:space="preserve">      "items": { "type": "string", "example": "Clean ABAP Rule: Use VALUE #() constructor expression" }</w:t>
              <w:br/>
              <w:t xml:space="preserve">    },</w:t>
              <w:br/>
              <w:t xml:space="preserve">    "latencyMs": { "type": "integer", "example": 420 }</w:t>
              <w:br/>
              <w:t xml:space="preserve">  },</w:t>
              <w:br/>
              <w:t xml:space="preserve">  "required": ["requestId", "completionText", "rfcSyntaxCheck", "latencyMs"]</w:t>
              <w:br/>
              <w:t>}</w:t>
            </w:r>
          </w:p>
        </w:tc>
      </w:tr>
    </w:tbl>
    <w:p>
      <w:pPr>
        <w:spacing w:after="80"/>
      </w:pPr>
    </w:p>
    <w:p>
      <w:pPr>
        <w:keepNext/>
        <w:spacing w:before="240" w:after="80"/>
      </w:pPr>
      <w:r>
        <w:rPr>
          <w:rFonts w:ascii="Calibri" w:hAnsi="Calibri"/>
          <w:b/>
          <w:color w:val="285A8C"/>
          <w:sz w:val="25"/>
        </w:rPr>
        <w:t>5.3 Data Flow Diagram (DFD Level 1 Decomposition)</w:t>
      </w:r>
    </w:p>
    <w:tbl>
      <w:tblPr>
        <w:tblW w:type="auto" w:w="0"/>
        <w:jc w:val="center"/>
        <w:tblLayout w:type="fixed"/>
        <w:tblLook w:firstColumn="1" w:firstRow="1" w:lastColumn="0" w:lastRow="0" w:noHBand="0" w:noVBand="1" w:val="04A0"/>
      </w:tblPr>
      <w:tblGrid>
        <w:gridCol w:w="9360"/>
      </w:tblGrid>
      <w:tr>
        <w:tc>
          <w:tcPr>
            <w:tcW w:type="dxa" w:w="9360"/>
            <w:shd w:fill="272822"/>
            <w:tcMar>
              <w:top w:w="100" w:type="dxa"/>
              <w:bottom w:w="100" w:type="dxa"/>
              <w:left w:w="120" w:type="dxa"/>
              <w:right w:w="120" w:type="dxa"/>
            </w:tcMar>
          </w:tcPr>
          <w:p>
            <w:pPr>
              <w:spacing w:before="0" w:after="0"/>
            </w:pPr>
            <w:r>
              <w:rPr>
                <w:rFonts w:ascii="Consolas" w:hAnsi="Consolas"/>
                <w:color w:val="F8F8F2"/>
                <w:sz w:val="18"/>
              </w:rPr>
              <w:t>+----------------+      1. Capture Cursor &amp; Code AST      +-----------------------+</w:t>
              <w:br/>
              <w:t>|  Developer IDE | -------------------------------------&gt; | 1.0 Context Assembly  |</w:t>
              <w:br/>
              <w:t>+----------------+                                        +-----------+-----------+</w:t>
              <w:br/>
              <w:t xml:space="preserve">        ^                                                             |</w:t>
              <w:br/>
              <w:t xml:space="preserve">        |                                   2. Sanitized Code Context |</w:t>
              <w:br/>
              <w:t xml:space="preserve">        | 6. Render Ghost Text                                        v</w:t>
              <w:br/>
              <w:t>+-------+--------+                                        +-----------------------+</w:t>
              <w:br/>
              <w:t>|  Developer IDE | &lt;------------------------------------- | 2.0 AI Orchestration  |</w:t>
              <w:br/>
              <w:t>+----------------+      5. Validated Code Payload         +-----------+-----------+</w:t>
              <w:br/>
              <w:t xml:space="preserve">                                                                      |</w:t>
              <w:br/>
              <w:t xml:space="preserve">                                       +------------------------------+------------------------------+</w:t>
              <w:br/>
              <w:t xml:space="preserve">                                       | 3. Query Vector Context                                     | 4. Validate Syntax</w:t>
              <w:br/>
              <w:t xml:space="preserve">                                       v                                                             v</w:t>
              <w:br/>
              <w:t xml:space="preserve">                            +-----------------------+                                     +-----------------------+</w:t>
              <w:br/>
              <w:t xml:space="preserve">                            | 3.0 RAG Vector Search |                                     | 4.0 SAP RFC Gateway   |</w:t>
              <w:br/>
              <w:t xml:space="preserve">                            +-----------------------+                                     +-----------------------+</w:t>
            </w:r>
          </w:p>
        </w:tc>
      </w:tr>
    </w:tbl>
    <w:p>
      <w:pPr>
        <w:spacing w:after="80"/>
      </w:pPr>
    </w:p>
    <w:p>
      <w:pPr>
        <w:keepNext/>
        <w:spacing w:before="360" w:after="120"/>
      </w:pPr>
      <w:r>
        <w:rPr>
          <w:rFonts w:ascii="Calibri" w:hAnsi="Calibri"/>
          <w:b/>
          <w:color w:val="0050A0"/>
          <w:sz w:val="30"/>
        </w:rPr>
        <w:t>6. Error Handling, Edge Cases &amp; System Resiliency</w:t>
      </w:r>
    </w:p>
    <w:p>
      <w:pPr>
        <w:spacing w:before="0" w:after="120" w:line="276" w:lineRule="auto"/>
      </w:pPr>
      <w:r>
        <w:rPr>
          <w:rFonts w:ascii="Calibri" w:hAnsi="Calibri"/>
          <w:color w:val="323232"/>
          <w:sz w:val="21"/>
        </w:rPr>
        <w:t>To ensure robust operations in high-availability enterprise SAP environments, the architecture implements proactive failure modes and graceful degradation.</w:t>
      </w:r>
    </w:p>
    <w:p>
      <w:pPr>
        <w:keepNext/>
        <w:spacing w:before="240" w:after="80"/>
      </w:pPr>
      <w:r>
        <w:rPr>
          <w:rFonts w:ascii="Calibri" w:hAnsi="Calibri"/>
          <w:b/>
          <w:color w:val="285A8C"/>
          <w:sz w:val="25"/>
        </w:rPr>
        <w:t>6.1 Network Partition &amp; SAP RFC Connection Failure Strategy</w:t>
      </w:r>
    </w:p>
    <w:p>
      <w:pPr>
        <w:spacing w:before="0" w:after="120" w:line="276" w:lineRule="auto"/>
      </w:pPr>
      <w:r>
        <w:rPr>
          <w:rFonts w:ascii="Calibri" w:hAnsi="Calibri"/>
          <w:color w:val="323232"/>
          <w:sz w:val="21"/>
        </w:rPr>
        <w:t>When the target SAP S/4HANA application server becomes unreachable (e.g., VPN disconnection or SAP gateway maintenance), the Gateway automatically switches to 'Degraded Offline RAG Mode'. Code completions continue using local AST syntax parsing and RAG rules, while live RFC syntax validation is temporarily bypassed with a yellow warning indicator in the IDE status bar.</w:t>
      </w:r>
    </w:p>
    <w:p>
      <w:pPr>
        <w:keepNext/>
        <w:spacing w:before="240" w:after="80"/>
      </w:pPr>
      <w:r>
        <w:rPr>
          <w:rFonts w:ascii="Calibri" w:hAnsi="Calibri"/>
          <w:b/>
          <w:color w:val="285A8C"/>
          <w:sz w:val="25"/>
        </w:rPr>
        <w:t>6.2 LLM Hallucination Prevention &amp; Safety Guardrails</w:t>
      </w:r>
    </w:p>
    <w:p>
      <w:pPr>
        <w:pStyle w:val="ListBullet"/>
        <w:spacing w:before="0" w:after="60" w:line="276" w:lineRule="auto"/>
      </w:pPr>
      <w:r>
        <w:rPr>
          <w:rFonts w:ascii="Calibri" w:hAnsi="Calibri"/>
          <w:b/>
          <w:color w:val="1E1E1E"/>
          <w:sz w:val="21"/>
        </w:rPr>
        <w:t xml:space="preserve">AST Syntax Filter: </w:t>
      </w:r>
      <w:r>
        <w:rPr>
          <w:rFonts w:ascii="Calibri" w:hAnsi="Calibri"/>
          <w:color w:val="3C3C3C"/>
          <w:sz w:val="21"/>
        </w:rPr>
        <w:t>Every LLM-generated snippet is evaluated against an ABAP AST Grammar Parser before RFC dispatch. If invalid syntax structures are detected, the response is discarded.</w:t>
      </w:r>
    </w:p>
    <w:p>
      <w:pPr>
        <w:pStyle w:val="ListBullet"/>
        <w:spacing w:before="0" w:after="60" w:line="276" w:lineRule="auto"/>
      </w:pPr>
      <w:r>
        <w:rPr>
          <w:rFonts w:ascii="Calibri" w:hAnsi="Calibri"/>
          <w:b/>
          <w:color w:val="1E1E1E"/>
          <w:sz w:val="21"/>
        </w:rPr>
        <w:t xml:space="preserve">Prohibited ABAP Statements Guardrail: </w:t>
      </w:r>
      <w:r>
        <w:rPr>
          <w:rFonts w:ascii="Calibri" w:hAnsi="Calibri"/>
          <w:color w:val="3C3C3C"/>
          <w:sz w:val="21"/>
        </w:rPr>
        <w:t>The Gateway enforces a strict blacklist of destructive syntax commands. Snippets containing DELETE FROM &lt;table&gt; WITHOUT WHERE, CALL 'SYSTEM', SE16, or BREAK-POINT are automatically blocked.</w:t>
      </w:r>
    </w:p>
    <w:p>
      <w:pPr>
        <w:pStyle w:val="ListBullet"/>
        <w:spacing w:before="0" w:after="60" w:line="276" w:lineRule="auto"/>
      </w:pPr>
      <w:r>
        <w:rPr>
          <w:rFonts w:ascii="Calibri" w:hAnsi="Calibri"/>
          <w:b/>
          <w:color w:val="1E1E1E"/>
          <w:sz w:val="21"/>
        </w:rPr>
        <w:t xml:space="preserve">Loop Execution Guardrail: </w:t>
      </w:r>
      <w:r>
        <w:rPr>
          <w:rFonts w:ascii="Calibri" w:hAnsi="Calibri"/>
          <w:color w:val="3C3C3C"/>
          <w:sz w:val="21"/>
        </w:rPr>
        <w:t>Prevents infinite loop generation by injecting SAP timeout markers into generated procedural constructs.</w:t>
      </w:r>
    </w:p>
    <w:p>
      <w:pPr>
        <w:keepNext/>
        <w:spacing w:before="240" w:after="80"/>
      </w:pPr>
      <w:r>
        <w:rPr>
          <w:rFonts w:ascii="Calibri" w:hAnsi="Calibri"/>
          <w:b/>
          <w:color w:val="285A8C"/>
          <w:sz w:val="25"/>
        </w:rPr>
        <w:t>6.3 PII &amp; Confidential Code Scrubbing Engine</w:t>
      </w:r>
    </w:p>
    <w:p>
      <w:pPr>
        <w:spacing w:before="0" w:after="120" w:line="276" w:lineRule="auto"/>
      </w:pPr>
      <w:r>
        <w:rPr>
          <w:rFonts w:ascii="Calibri" w:hAnsi="Calibri"/>
          <w:color w:val="323232"/>
          <w:sz w:val="21"/>
        </w:rPr>
        <w:t>To satisfy corporate data privacy mandates, all code context payloads pass through an automated PII Masking Engine prior to LLM submission. The scrubbing pipeline applies regex replacement and symbol substitution to mask sensitive parameters:</w:t>
      </w:r>
    </w:p>
    <w:tbl>
      <w:tblPr>
        <w:tblW w:type="auto" w:w="0"/>
        <w:jc w:val="center"/>
        <w:tblLayout w:type="fixed"/>
        <w:tblLook w:firstColumn="1" w:firstRow="1" w:lastColumn="0" w:lastRow="0" w:noHBand="0" w:noVBand="1" w:val="04A0"/>
      </w:tblPr>
      <w:tblGrid>
        <w:gridCol w:w="9360"/>
      </w:tblGrid>
      <w:tr>
        <w:tc>
          <w:tcPr>
            <w:tcW w:type="dxa" w:w="9360"/>
            <w:shd w:fill="272822"/>
            <w:tcMar>
              <w:top w:w="100" w:type="dxa"/>
              <w:bottom w:w="100" w:type="dxa"/>
              <w:left w:w="120" w:type="dxa"/>
              <w:right w:w="120" w:type="dxa"/>
            </w:tcMar>
          </w:tcPr>
          <w:p>
            <w:pPr>
              <w:spacing w:before="0" w:after="0"/>
            </w:pPr>
            <w:r>
              <w:rPr>
                <w:rFonts w:ascii="Consolas" w:hAnsi="Consolas"/>
                <w:color w:val="F8F8F2"/>
                <w:sz w:val="18"/>
              </w:rPr>
              <w:t>[Original ABAP Source Snippet]</w:t>
              <w:br/>
              <w:t>SELECT SINGLE * FROM zcustom_payroll INTO @DATA(ls_pay) WHERE emp_ssn = '999-12-3456'.</w:t>
              <w:br/>
              <w:br/>
              <w:t>[Masked Payload Sent to LLM Inference Engine]</w:t>
              <w:br/>
              <w:t>SELECT SINGLE * FROM [Z_CUSTOM_TABLE_1] INTO @DATA(ls_pay) WHERE [MASKED_FIELD_1] = '[MASKED_LITERAL_1]'.</w:t>
            </w:r>
          </w:p>
        </w:tc>
      </w:tr>
    </w:tbl>
    <w:p>
      <w:pPr>
        <w:spacing w:after="80"/>
      </w:pPr>
    </w:p>
    <w:p>
      <w:pPr>
        <w:keepNext/>
        <w:spacing w:before="360" w:after="120"/>
      </w:pPr>
      <w:r>
        <w:rPr>
          <w:rFonts w:ascii="Calibri" w:hAnsi="Calibri"/>
          <w:b/>
          <w:color w:val="0050A0"/>
          <w:sz w:val="30"/>
        </w:rPr>
        <w:t>7. User Interface Sketches &amp; IDE Integration Mockups</w:t>
      </w:r>
    </w:p>
    <w:p>
      <w:pPr>
        <w:spacing w:before="0" w:after="120" w:line="276" w:lineRule="auto"/>
      </w:pPr>
      <w:r>
        <w:rPr>
          <w:rFonts w:ascii="Calibri" w:hAnsi="Calibri"/>
          <w:color w:val="323232"/>
          <w:sz w:val="21"/>
        </w:rPr>
        <w:t>The system provides native integration across both primary SAP development environments: Eclipse ADT and VS Code.</w:t>
      </w:r>
    </w:p>
    <w:p>
      <w:pPr>
        <w:keepNext/>
        <w:spacing w:before="240" w:after="80"/>
      </w:pPr>
      <w:r>
        <w:rPr>
          <w:rFonts w:ascii="Calibri" w:hAnsi="Calibri"/>
          <w:b/>
          <w:color w:val="285A8C"/>
          <w:sz w:val="25"/>
        </w:rPr>
        <w:t>7.1 Eclipse ADT Visual Layout Sketch</w:t>
      </w:r>
    </w:p>
    <w:p>
      <w:pPr>
        <w:spacing w:before="80"/>
      </w:pPr>
    </w:p>
    <w:p>
      <w:pPr>
        <w:jc w:val="center"/>
      </w:pPr>
      <w:r>
        <w:drawing>
          <wp:inline xmlns:a="http://schemas.openxmlformats.org/drawingml/2006/main" xmlns:pic="http://schemas.openxmlformats.org/drawingml/2006/picture">
            <wp:extent cx="5669280" cy="3164249"/>
            <wp:docPr id="2" name="Picture 2"/>
            <wp:cNvGraphicFramePr>
              <a:graphicFrameLocks noChangeAspect="1"/>
            </wp:cNvGraphicFramePr>
            <a:graphic>
              <a:graphicData uri="http://schemas.openxmlformats.org/drawingml/2006/picture">
                <pic:pic>
                  <pic:nvPicPr>
                    <pic:cNvPr id="0" name="eclipse_adt_ui_sketch_1788791006972.jpg"/>
                    <pic:cNvPicPr/>
                  </pic:nvPicPr>
                  <pic:blipFill>
                    <a:blip r:embed="rId10"/>
                    <a:stretch>
                      <a:fillRect/>
                    </a:stretch>
                  </pic:blipFill>
                  <pic:spPr>
                    <a:xfrm>
                      <a:off x="0" y="0"/>
                      <a:ext cx="5669280" cy="3164249"/>
                    </a:xfrm>
                    <a:prstGeom prst="rect"/>
                  </pic:spPr>
                </pic:pic>
              </a:graphicData>
            </a:graphic>
          </wp:inline>
        </w:drawing>
      </w:r>
    </w:p>
    <w:p>
      <w:pPr>
        <w:jc w:val="center"/>
      </w:pPr>
      <w:r>
        <w:rPr>
          <w:i/>
          <w:color w:val="646464"/>
          <w:sz w:val="18"/>
        </w:rPr>
        <w:t>Figure 7.1: Visual UI Mockup Sketch of Eclipse ADT Integration</w:t>
      </w:r>
    </w:p>
    <w:p>
      <w:pPr>
        <w:spacing w:after="120"/>
      </w:pPr>
    </w:p>
    <w:p>
      <w:pPr>
        <w:pStyle w:val="ListBullet"/>
        <w:spacing w:before="0" w:after="60" w:line="276" w:lineRule="auto"/>
      </w:pPr>
      <w:r>
        <w:rPr>
          <w:rFonts w:ascii="Calibri" w:hAnsi="Calibri"/>
          <w:b/>
          <w:color w:val="1E1E1E"/>
          <w:sz w:val="21"/>
        </w:rPr>
        <w:t xml:space="preserve">Eclipse UI Feature A (Inline Editor): </w:t>
      </w:r>
      <w:r>
        <w:rPr>
          <w:rFonts w:ascii="Calibri" w:hAnsi="Calibri"/>
          <w:color w:val="3C3C3C"/>
          <w:sz w:val="21"/>
        </w:rPr>
        <w:t>Displays inline green ghost-text completion overlay. Developer accepts via [Tab] or cancels via [Esc].</w:t>
      </w:r>
    </w:p>
    <w:p>
      <w:pPr>
        <w:pStyle w:val="ListBullet"/>
        <w:spacing w:before="0" w:after="60" w:line="276" w:lineRule="auto"/>
      </w:pPr>
      <w:r>
        <w:rPr>
          <w:rFonts w:ascii="Calibri" w:hAnsi="Calibri"/>
          <w:b/>
          <w:color w:val="1E1E1E"/>
          <w:sz w:val="21"/>
        </w:rPr>
        <w:t xml:space="preserve">Eclipse UI Feature B (Side Chat Panel): </w:t>
      </w:r>
      <w:r>
        <w:rPr>
          <w:rFonts w:ascii="Calibri" w:hAnsi="Calibri"/>
          <w:color w:val="3C3C3C"/>
          <w:sz w:val="21"/>
        </w:rPr>
        <w:t>Embedded JavaFX/Chromium webview containing AI Assistant chat, Clean ABAP rule lookup, and Quick Action buttons.</w:t>
      </w:r>
    </w:p>
    <w:p>
      <w:pPr>
        <w:pStyle w:val="ListBullet"/>
        <w:spacing w:before="0" w:after="60" w:line="276" w:lineRule="auto"/>
      </w:pPr>
      <w:r>
        <w:rPr>
          <w:rFonts w:ascii="Calibri" w:hAnsi="Calibri"/>
          <w:b/>
          <w:color w:val="1E1E1E"/>
          <w:sz w:val="21"/>
        </w:rPr>
        <w:t xml:space="preserve">Eclipse UI Feature C (ATC Problem View): </w:t>
      </w:r>
      <w:r>
        <w:rPr>
          <w:rFonts w:ascii="Calibri" w:hAnsi="Calibri"/>
          <w:color w:val="3C3C3C"/>
          <w:sz w:val="21"/>
        </w:rPr>
        <w:t>Integrates directly into standard Eclipse 'Problems View' with a custom 1-Click 'Quick Fix (AI Refactor)' menu.</w:t>
      </w:r>
    </w:p>
    <w:p>
      <w:pPr>
        <w:keepNext/>
        <w:spacing w:before="240" w:after="80"/>
      </w:pPr>
      <w:r>
        <w:rPr>
          <w:rFonts w:ascii="Calibri" w:hAnsi="Calibri"/>
          <w:b/>
          <w:color w:val="285A8C"/>
          <w:sz w:val="25"/>
        </w:rPr>
        <w:t>7.2 VS Code Extension Visual Layout Sketch</w:t>
      </w:r>
    </w:p>
    <w:p>
      <w:pPr>
        <w:spacing w:before="80"/>
      </w:pPr>
    </w:p>
    <w:p>
      <w:pPr>
        <w:jc w:val="center"/>
      </w:pPr>
      <w:r>
        <w:drawing>
          <wp:inline xmlns:a="http://schemas.openxmlformats.org/drawingml/2006/main" xmlns:pic="http://schemas.openxmlformats.org/drawingml/2006/picture">
            <wp:extent cx="5669280" cy="3164249"/>
            <wp:docPr id="3" name="Picture 3"/>
            <wp:cNvGraphicFramePr>
              <a:graphicFrameLocks noChangeAspect="1"/>
            </wp:cNvGraphicFramePr>
            <a:graphic>
              <a:graphicData uri="http://schemas.openxmlformats.org/drawingml/2006/picture">
                <pic:pic>
                  <pic:nvPicPr>
                    <pic:cNvPr id="0" name="vscode_abap_ui_sketch_1788791187022.jpg"/>
                    <pic:cNvPicPr/>
                  </pic:nvPicPr>
                  <pic:blipFill>
                    <a:blip r:embed="rId11"/>
                    <a:stretch>
                      <a:fillRect/>
                    </a:stretch>
                  </pic:blipFill>
                  <pic:spPr>
                    <a:xfrm>
                      <a:off x="0" y="0"/>
                      <a:ext cx="5669280" cy="3164249"/>
                    </a:xfrm>
                    <a:prstGeom prst="rect"/>
                  </pic:spPr>
                </pic:pic>
              </a:graphicData>
            </a:graphic>
          </wp:inline>
        </w:drawing>
      </w:r>
    </w:p>
    <w:p>
      <w:pPr>
        <w:jc w:val="center"/>
      </w:pPr>
      <w:r>
        <w:rPr>
          <w:i/>
          <w:color w:val="646464"/>
          <w:sz w:val="18"/>
        </w:rPr>
        <w:t>Figure 7.2: Visual UI Mockup Sketch of VS Code Extension with Split Refactoring View</w:t>
      </w:r>
    </w:p>
    <w:p>
      <w:pPr>
        <w:spacing w:after="120"/>
      </w:pPr>
    </w:p>
    <w:p>
      <w:pPr>
        <w:pStyle w:val="ListBullet"/>
        <w:spacing w:before="0" w:after="60" w:line="276" w:lineRule="auto"/>
      </w:pPr>
      <w:r>
        <w:rPr>
          <w:rFonts w:ascii="Calibri" w:hAnsi="Calibri"/>
          <w:b/>
          <w:color w:val="1E1E1E"/>
          <w:sz w:val="21"/>
        </w:rPr>
        <w:t xml:space="preserve">VS Code Feature A (CodeLens Actions): </w:t>
      </w:r>
      <w:r>
        <w:rPr>
          <w:rFonts w:ascii="Calibri" w:hAnsi="Calibri"/>
          <w:color w:val="3C3C3C"/>
          <w:sz w:val="21"/>
        </w:rPr>
        <w:t>Floating action links above class methods: 'Refactor with Clean ABAP | Generate ABAP Unit Test | Run ATC Check'.</w:t>
      </w:r>
    </w:p>
    <w:p>
      <w:pPr>
        <w:pStyle w:val="ListBullet"/>
        <w:spacing w:before="0" w:after="60" w:line="276" w:lineRule="auto"/>
      </w:pPr>
      <w:r>
        <w:rPr>
          <w:rFonts w:ascii="Calibri" w:hAnsi="Calibri"/>
          <w:b/>
          <w:color w:val="1E1E1E"/>
          <w:sz w:val="21"/>
        </w:rPr>
        <w:t xml:space="preserve">VS Code Feature B (Diff Refactoring Window): </w:t>
      </w:r>
      <w:r>
        <w:rPr>
          <w:rFonts w:ascii="Calibri" w:hAnsi="Calibri"/>
          <w:color w:val="3C3C3C"/>
          <w:sz w:val="21"/>
        </w:rPr>
        <w:t>Side-by-side split view comparing legacy procedural code against modern AI-refactored Clean ABAP code.</w:t>
      </w:r>
    </w:p>
    <w:p>
      <w:pPr>
        <w:pStyle w:val="ListBullet"/>
        <w:spacing w:before="0" w:after="60" w:line="276" w:lineRule="auto"/>
      </w:pPr>
      <w:r>
        <w:rPr>
          <w:rFonts w:ascii="Calibri" w:hAnsi="Calibri"/>
          <w:b/>
          <w:color w:val="1E1E1E"/>
          <w:sz w:val="21"/>
        </w:rPr>
        <w:t xml:space="preserve">VS Code Feature C (Status Bar Indicator): </w:t>
      </w:r>
      <w:r>
        <w:rPr>
          <w:rFonts w:ascii="Calibri" w:hAnsi="Calibri"/>
          <w:color w:val="3C3C3C"/>
          <w:sz w:val="21"/>
        </w:rPr>
        <w:t>Live status pill indicating RFC connection health and gRPC response latency (e.g. 'SAP AI: Connected 42ms').</w:t>
      </w:r>
    </w:p>
    <w:p>
      <w:pPr>
        <w:keepNext/>
        <w:spacing w:before="360" w:after="120"/>
      </w:pPr>
      <w:r>
        <w:rPr>
          <w:rFonts w:ascii="Calibri" w:hAnsi="Calibri"/>
          <w:b/>
          <w:color w:val="0050A0"/>
          <w:sz w:val="30"/>
        </w:rPr>
        <w:t>8. Requirements Traceability Matrix (RTM)</w:t>
      </w:r>
    </w:p>
    <w:p>
      <w:pPr>
        <w:spacing w:before="0" w:after="120" w:line="276" w:lineRule="auto"/>
      </w:pPr>
      <w:r>
        <w:rPr>
          <w:rFonts w:ascii="Calibri" w:hAnsi="Calibri"/>
          <w:color w:val="323232"/>
          <w:sz w:val="21"/>
        </w:rPr>
        <w:t>The Requirements Traceability Matrix establishes direct mapping between functional requirements, design modules, API endpoints, and verification procedures.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0070D2"/>
            <w:tcMar>
              <w:top w:w="120" w:type="dxa"/>
              <w:bottom w:w="120" w:type="dxa"/>
              <w:left w:w="120" w:type="dxa"/>
              <w:right w:w="120" w:type="dxa"/>
            </w:tcMar>
          </w:tcPr>
          <w:p>
            <w:pPr>
              <w:jc w:val="left"/>
            </w:pPr>
            <w:r>
              <w:t>Req ID</w:t>
            </w:r>
          </w:p>
        </w:tc>
        <w:tc>
          <w:tcPr>
            <w:tcW w:type="dxa" w:w="1872"/>
            <w:shd w:fill="0070D2"/>
            <w:tcMar>
              <w:top w:w="120" w:type="dxa"/>
              <w:bottom w:w="120" w:type="dxa"/>
              <w:left w:w="120" w:type="dxa"/>
              <w:right w:w="120" w:type="dxa"/>
            </w:tcMar>
          </w:tcPr>
          <w:p>
            <w:pPr>
              <w:jc w:val="left"/>
            </w:pPr>
            <w:r>
              <w:t>Functional Requirement</w:t>
            </w:r>
          </w:p>
        </w:tc>
        <w:tc>
          <w:tcPr>
            <w:tcW w:type="dxa" w:w="2016"/>
            <w:shd w:fill="0070D2"/>
            <w:tcMar>
              <w:top w:w="120" w:type="dxa"/>
              <w:bottom w:w="120" w:type="dxa"/>
              <w:left w:w="120" w:type="dxa"/>
              <w:right w:w="120" w:type="dxa"/>
            </w:tcMar>
          </w:tcPr>
          <w:p>
            <w:pPr>
              <w:jc w:val="left"/>
            </w:pPr>
            <w:r>
              <w:t>Design Module</w:t>
            </w:r>
          </w:p>
        </w:tc>
        <w:tc>
          <w:tcPr>
            <w:tcW w:type="dxa" w:w="2160"/>
            <w:shd w:fill="0070D2"/>
            <w:tcMar>
              <w:top w:w="120" w:type="dxa"/>
              <w:bottom w:w="120" w:type="dxa"/>
              <w:left w:w="120" w:type="dxa"/>
              <w:right w:w="120" w:type="dxa"/>
            </w:tcMar>
          </w:tcPr>
          <w:p>
            <w:pPr>
              <w:jc w:val="left"/>
            </w:pPr>
            <w:r>
              <w:t>API Endpoint</w:t>
            </w:r>
          </w:p>
        </w:tc>
        <w:tc>
          <w:tcPr>
            <w:tcW w:type="dxa" w:w="2160"/>
            <w:shd w:fill="0070D2"/>
            <w:tcMar>
              <w:top w:w="120" w:type="dxa"/>
              <w:bottom w:w="120" w:type="dxa"/>
              <w:left w:w="120" w:type="dxa"/>
              <w:right w:w="120" w:type="dxa"/>
            </w:tcMar>
          </w:tcPr>
          <w:p>
            <w:pPr>
              <w:jc w:val="left"/>
            </w:pPr>
            <w:r>
              <w:t>Verification Method</w:t>
            </w:r>
          </w:p>
        </w:tc>
      </w:tr>
      <w:tr>
        <w:tc>
          <w:tcPr>
            <w:tcW w:type="dxa" w:w="1152"/>
            <w:shd w:fill="F7F9FC"/>
            <w:tcMar>
              <w:top w:w="60" w:type="dxa"/>
              <w:bottom w:w="60" w:type="dxa"/>
              <w:left w:w="60" w:type="dxa"/>
              <w:right w:w="60" w:type="dxa"/>
            </w:tcMar>
          </w:tcPr>
          <w:p>
            <w:pPr>
              <w:spacing w:after="40"/>
            </w:pPr>
            <w:r>
              <w:rPr>
                <w:b/>
                <w:sz w:val="17"/>
              </w:rPr>
              <w:t>FR-1</w:t>
            </w:r>
          </w:p>
        </w:tc>
        <w:tc>
          <w:tcPr>
            <w:tcW w:type="dxa" w:w="1872"/>
            <w:shd w:fill="F7F9FC"/>
            <w:tcMar>
              <w:top w:w="60" w:type="dxa"/>
              <w:bottom w:w="60" w:type="dxa"/>
              <w:left w:w="60" w:type="dxa"/>
              <w:right w:w="60" w:type="dxa"/>
            </w:tcMar>
          </w:tcPr>
          <w:p>
            <w:pPr>
              <w:spacing w:after="40"/>
            </w:pPr>
            <w:r>
              <w:rPr>
                <w:sz w:val="17"/>
              </w:rPr>
              <w:t>Inline ABAP Completion</w:t>
            </w:r>
          </w:p>
        </w:tc>
        <w:tc>
          <w:tcPr>
            <w:tcW w:type="dxa" w:w="2016"/>
            <w:shd w:fill="F7F9FC"/>
            <w:tcMar>
              <w:top w:w="60" w:type="dxa"/>
              <w:bottom w:w="60" w:type="dxa"/>
              <w:left w:w="60" w:type="dxa"/>
              <w:right w:w="60" w:type="dxa"/>
            </w:tcMar>
          </w:tcPr>
          <w:p>
            <w:pPr>
              <w:spacing w:after="40"/>
            </w:pPr>
            <w:r>
              <w:rPr>
                <w:sz w:val="17"/>
              </w:rPr>
              <w:t>Module 1 &amp; Module 2</w:t>
            </w:r>
          </w:p>
        </w:tc>
        <w:tc>
          <w:tcPr>
            <w:tcW w:type="dxa" w:w="2160"/>
            <w:shd w:fill="F7F9FC"/>
            <w:tcMar>
              <w:top w:w="60" w:type="dxa"/>
              <w:bottom w:w="60" w:type="dxa"/>
              <w:left w:w="60" w:type="dxa"/>
              <w:right w:w="60" w:type="dxa"/>
            </w:tcMar>
          </w:tcPr>
          <w:p>
            <w:pPr>
              <w:spacing w:after="40"/>
            </w:pPr>
            <w:r>
              <w:rPr>
                <w:sz w:val="17"/>
              </w:rPr>
              <w:t>/api/v1/completion/inline</w:t>
            </w:r>
          </w:p>
        </w:tc>
        <w:tc>
          <w:tcPr>
            <w:tcW w:type="dxa" w:w="2160"/>
            <w:shd w:fill="F7F9FC"/>
            <w:tcMar>
              <w:top w:w="60" w:type="dxa"/>
              <w:bottom w:w="60" w:type="dxa"/>
              <w:left w:w="60" w:type="dxa"/>
              <w:right w:w="60" w:type="dxa"/>
            </w:tcMar>
          </w:tcPr>
          <w:p>
            <w:pPr>
              <w:spacing w:after="40"/>
            </w:pPr>
            <w:r>
              <w:rPr>
                <w:sz w:val="17"/>
              </w:rPr>
              <w:t>Automated Latency &amp; Syntax Test</w:t>
            </w:r>
          </w:p>
        </w:tc>
      </w:tr>
      <w:tr>
        <w:tc>
          <w:tcPr>
            <w:tcW w:type="dxa" w:w="1152"/>
            <w:shd w:fill="FFFFFF"/>
            <w:tcMar>
              <w:top w:w="60" w:type="dxa"/>
              <w:bottom w:w="60" w:type="dxa"/>
              <w:left w:w="60" w:type="dxa"/>
              <w:right w:w="60" w:type="dxa"/>
            </w:tcMar>
          </w:tcPr>
          <w:p>
            <w:pPr>
              <w:spacing w:after="40"/>
            </w:pPr>
            <w:r>
              <w:rPr>
                <w:b/>
                <w:sz w:val="17"/>
              </w:rPr>
              <w:t>FR-2</w:t>
            </w:r>
          </w:p>
        </w:tc>
        <w:tc>
          <w:tcPr>
            <w:tcW w:type="dxa" w:w="1872"/>
            <w:shd w:fill="FFFFFF"/>
            <w:tcMar>
              <w:top w:w="60" w:type="dxa"/>
              <w:bottom w:w="60" w:type="dxa"/>
              <w:left w:w="60" w:type="dxa"/>
              <w:right w:w="60" w:type="dxa"/>
            </w:tcMar>
          </w:tcPr>
          <w:p>
            <w:pPr>
              <w:spacing w:after="40"/>
            </w:pPr>
            <w:r>
              <w:rPr>
                <w:sz w:val="17"/>
              </w:rPr>
              <w:t>RAP &amp; CDS Generator</w:t>
            </w:r>
          </w:p>
        </w:tc>
        <w:tc>
          <w:tcPr>
            <w:tcW w:type="dxa" w:w="2016"/>
            <w:shd w:fill="FFFFFF"/>
            <w:tcMar>
              <w:top w:w="60" w:type="dxa"/>
              <w:bottom w:w="60" w:type="dxa"/>
              <w:left w:w="60" w:type="dxa"/>
              <w:right w:w="60" w:type="dxa"/>
            </w:tcMar>
          </w:tcPr>
          <w:p>
            <w:pPr>
              <w:spacing w:after="40"/>
            </w:pPr>
            <w:r>
              <w:rPr>
                <w:sz w:val="17"/>
              </w:rPr>
              <w:t>Module 5 (Generator)</w:t>
            </w:r>
          </w:p>
        </w:tc>
        <w:tc>
          <w:tcPr>
            <w:tcW w:type="dxa" w:w="2160"/>
            <w:shd w:fill="FFFFFF"/>
            <w:tcMar>
              <w:top w:w="60" w:type="dxa"/>
              <w:bottom w:w="60" w:type="dxa"/>
              <w:left w:w="60" w:type="dxa"/>
              <w:right w:w="60" w:type="dxa"/>
            </w:tcMar>
          </w:tcPr>
          <w:p>
            <w:pPr>
              <w:spacing w:after="40"/>
            </w:pPr>
            <w:r>
              <w:rPr>
                <w:sz w:val="17"/>
              </w:rPr>
              <w:t>/api/v1/generator/rap-cds</w:t>
            </w:r>
          </w:p>
        </w:tc>
        <w:tc>
          <w:tcPr>
            <w:tcW w:type="dxa" w:w="2160"/>
            <w:shd w:fill="FFFFFF"/>
            <w:tcMar>
              <w:top w:w="60" w:type="dxa"/>
              <w:bottom w:w="60" w:type="dxa"/>
              <w:left w:w="60" w:type="dxa"/>
              <w:right w:w="60" w:type="dxa"/>
            </w:tcMar>
          </w:tcPr>
          <w:p>
            <w:pPr>
              <w:spacing w:after="40"/>
            </w:pPr>
            <w:r>
              <w:rPr>
                <w:sz w:val="17"/>
              </w:rPr>
              <w:t>CDS Activation Unit Test</w:t>
            </w:r>
          </w:p>
        </w:tc>
      </w:tr>
      <w:tr>
        <w:tc>
          <w:tcPr>
            <w:tcW w:type="dxa" w:w="1152"/>
            <w:shd w:fill="F7F9FC"/>
            <w:tcMar>
              <w:top w:w="60" w:type="dxa"/>
              <w:bottom w:w="60" w:type="dxa"/>
              <w:left w:w="60" w:type="dxa"/>
              <w:right w:w="60" w:type="dxa"/>
            </w:tcMar>
          </w:tcPr>
          <w:p>
            <w:pPr>
              <w:spacing w:after="40"/>
            </w:pPr>
            <w:r>
              <w:rPr>
                <w:b/>
                <w:sz w:val="17"/>
              </w:rPr>
              <w:t>FR-3</w:t>
            </w:r>
          </w:p>
        </w:tc>
        <w:tc>
          <w:tcPr>
            <w:tcW w:type="dxa" w:w="1872"/>
            <w:shd w:fill="F7F9FC"/>
            <w:tcMar>
              <w:top w:w="60" w:type="dxa"/>
              <w:bottom w:w="60" w:type="dxa"/>
              <w:left w:w="60" w:type="dxa"/>
              <w:right w:w="60" w:type="dxa"/>
            </w:tcMar>
          </w:tcPr>
          <w:p>
            <w:pPr>
              <w:spacing w:after="40"/>
            </w:pPr>
            <w:r>
              <w:rPr>
                <w:sz w:val="17"/>
              </w:rPr>
              <w:t>ATC Refactoring Engine</w:t>
            </w:r>
          </w:p>
        </w:tc>
        <w:tc>
          <w:tcPr>
            <w:tcW w:type="dxa" w:w="2016"/>
            <w:shd w:fill="F7F9FC"/>
            <w:tcMar>
              <w:top w:w="60" w:type="dxa"/>
              <w:bottom w:w="60" w:type="dxa"/>
              <w:left w:w="60" w:type="dxa"/>
              <w:right w:w="60" w:type="dxa"/>
            </w:tcMar>
          </w:tcPr>
          <w:p>
            <w:pPr>
              <w:spacing w:after="40"/>
            </w:pPr>
            <w:r>
              <w:rPr>
                <w:sz w:val="17"/>
              </w:rPr>
              <w:t>Module 4 (RFC Gateway)</w:t>
            </w:r>
          </w:p>
        </w:tc>
        <w:tc>
          <w:tcPr>
            <w:tcW w:type="dxa" w:w="2160"/>
            <w:shd w:fill="F7F9FC"/>
            <w:tcMar>
              <w:top w:w="60" w:type="dxa"/>
              <w:bottom w:w="60" w:type="dxa"/>
              <w:left w:w="60" w:type="dxa"/>
              <w:right w:w="60" w:type="dxa"/>
            </w:tcMar>
          </w:tcPr>
          <w:p>
            <w:pPr>
              <w:spacing w:after="40"/>
            </w:pPr>
            <w:r>
              <w:rPr>
                <w:sz w:val="17"/>
              </w:rPr>
              <w:t>/api/v1/atc/remediate</w:t>
            </w:r>
          </w:p>
        </w:tc>
        <w:tc>
          <w:tcPr>
            <w:tcW w:type="dxa" w:w="2160"/>
            <w:shd w:fill="F7F9FC"/>
            <w:tcMar>
              <w:top w:w="60" w:type="dxa"/>
              <w:bottom w:w="60" w:type="dxa"/>
              <w:left w:w="60" w:type="dxa"/>
              <w:right w:w="60" w:type="dxa"/>
            </w:tcMar>
          </w:tcPr>
          <w:p>
            <w:pPr>
              <w:spacing w:after="40"/>
            </w:pPr>
            <w:r>
              <w:rPr>
                <w:sz w:val="17"/>
              </w:rPr>
              <w:t>ATC Static Analysis Runner</w:t>
            </w:r>
          </w:p>
        </w:tc>
      </w:tr>
      <w:tr>
        <w:tc>
          <w:tcPr>
            <w:tcW w:type="dxa" w:w="1152"/>
            <w:shd w:fill="FFFFFF"/>
            <w:tcMar>
              <w:top w:w="60" w:type="dxa"/>
              <w:bottom w:w="60" w:type="dxa"/>
              <w:left w:w="60" w:type="dxa"/>
              <w:right w:w="60" w:type="dxa"/>
            </w:tcMar>
          </w:tcPr>
          <w:p>
            <w:pPr>
              <w:spacing w:after="40"/>
            </w:pPr>
            <w:r>
              <w:rPr>
                <w:b/>
                <w:sz w:val="17"/>
              </w:rPr>
              <w:t>FR-4</w:t>
            </w:r>
          </w:p>
        </w:tc>
        <w:tc>
          <w:tcPr>
            <w:tcW w:type="dxa" w:w="1872"/>
            <w:shd w:fill="FFFFFF"/>
            <w:tcMar>
              <w:top w:w="60" w:type="dxa"/>
              <w:bottom w:w="60" w:type="dxa"/>
              <w:left w:w="60" w:type="dxa"/>
              <w:right w:w="60" w:type="dxa"/>
            </w:tcMar>
          </w:tcPr>
          <w:p>
            <w:pPr>
              <w:spacing w:after="40"/>
            </w:pPr>
            <w:r>
              <w:rPr>
                <w:sz w:val="17"/>
              </w:rPr>
              <w:t>ABAP Unit Generator</w:t>
            </w:r>
          </w:p>
        </w:tc>
        <w:tc>
          <w:tcPr>
            <w:tcW w:type="dxa" w:w="2016"/>
            <w:shd w:fill="FFFFFF"/>
            <w:tcMar>
              <w:top w:w="60" w:type="dxa"/>
              <w:bottom w:w="60" w:type="dxa"/>
              <w:left w:w="60" w:type="dxa"/>
              <w:right w:w="60" w:type="dxa"/>
            </w:tcMar>
          </w:tcPr>
          <w:p>
            <w:pPr>
              <w:spacing w:after="40"/>
            </w:pPr>
            <w:r>
              <w:rPr>
                <w:sz w:val="17"/>
              </w:rPr>
              <w:t>Module 5 (Generator)</w:t>
            </w:r>
          </w:p>
        </w:tc>
        <w:tc>
          <w:tcPr>
            <w:tcW w:type="dxa" w:w="2160"/>
            <w:shd w:fill="FFFFFF"/>
            <w:tcMar>
              <w:top w:w="60" w:type="dxa"/>
              <w:bottom w:w="60" w:type="dxa"/>
              <w:left w:w="60" w:type="dxa"/>
              <w:right w:w="60" w:type="dxa"/>
            </w:tcMar>
          </w:tcPr>
          <w:p>
            <w:pPr>
              <w:spacing w:after="40"/>
            </w:pPr>
            <w:r>
              <w:rPr>
                <w:sz w:val="17"/>
              </w:rPr>
              <w:t>/api/v1/generator/abap-unit</w:t>
            </w:r>
          </w:p>
        </w:tc>
        <w:tc>
          <w:tcPr>
            <w:tcW w:type="dxa" w:w="2160"/>
            <w:shd w:fill="FFFFFF"/>
            <w:tcMar>
              <w:top w:w="60" w:type="dxa"/>
              <w:bottom w:w="60" w:type="dxa"/>
              <w:left w:w="60" w:type="dxa"/>
              <w:right w:w="60" w:type="dxa"/>
            </w:tcMar>
          </w:tcPr>
          <w:p>
            <w:pPr>
              <w:spacing w:after="40"/>
            </w:pPr>
            <w:r>
              <w:rPr>
                <w:sz w:val="17"/>
              </w:rPr>
              <w:t>AUNIT Test Execution</w:t>
            </w:r>
          </w:p>
        </w:tc>
      </w:tr>
      <w:tr>
        <w:tc>
          <w:tcPr>
            <w:tcW w:type="dxa" w:w="1152"/>
            <w:shd w:fill="F7F9FC"/>
            <w:tcMar>
              <w:top w:w="60" w:type="dxa"/>
              <w:bottom w:w="60" w:type="dxa"/>
              <w:left w:w="60" w:type="dxa"/>
              <w:right w:w="60" w:type="dxa"/>
            </w:tcMar>
          </w:tcPr>
          <w:p>
            <w:pPr>
              <w:spacing w:after="40"/>
            </w:pPr>
            <w:r>
              <w:rPr>
                <w:b/>
                <w:sz w:val="17"/>
              </w:rPr>
              <w:t>FR-5</w:t>
            </w:r>
          </w:p>
        </w:tc>
        <w:tc>
          <w:tcPr>
            <w:tcW w:type="dxa" w:w="1872"/>
            <w:shd w:fill="F7F9FC"/>
            <w:tcMar>
              <w:top w:w="60" w:type="dxa"/>
              <w:bottom w:w="60" w:type="dxa"/>
              <w:left w:w="60" w:type="dxa"/>
              <w:right w:w="60" w:type="dxa"/>
            </w:tcMar>
          </w:tcPr>
          <w:p>
            <w:pPr>
              <w:spacing w:after="40"/>
            </w:pPr>
            <w:r>
              <w:rPr>
                <w:sz w:val="17"/>
              </w:rPr>
              <w:t>ABAP Doc Generator</w:t>
            </w:r>
          </w:p>
        </w:tc>
        <w:tc>
          <w:tcPr>
            <w:tcW w:type="dxa" w:w="2016"/>
            <w:shd w:fill="F7F9FC"/>
            <w:tcMar>
              <w:top w:w="60" w:type="dxa"/>
              <w:bottom w:w="60" w:type="dxa"/>
              <w:left w:w="60" w:type="dxa"/>
              <w:right w:w="60" w:type="dxa"/>
            </w:tcMar>
          </w:tcPr>
          <w:p>
            <w:pPr>
              <w:spacing w:after="40"/>
            </w:pPr>
            <w:r>
              <w:rPr>
                <w:sz w:val="17"/>
              </w:rPr>
              <w:t>Module 2 (Orchestrator)</w:t>
            </w:r>
          </w:p>
        </w:tc>
        <w:tc>
          <w:tcPr>
            <w:tcW w:type="dxa" w:w="2160"/>
            <w:shd w:fill="F7F9FC"/>
            <w:tcMar>
              <w:top w:w="60" w:type="dxa"/>
              <w:bottom w:w="60" w:type="dxa"/>
              <w:left w:w="60" w:type="dxa"/>
              <w:right w:w="60" w:type="dxa"/>
            </w:tcMar>
          </w:tcPr>
          <w:p>
            <w:pPr>
              <w:spacing w:after="40"/>
            </w:pPr>
            <w:r>
              <w:rPr>
                <w:sz w:val="17"/>
              </w:rPr>
              <w:t>/api/v1/doc/abapdoc</w:t>
            </w:r>
          </w:p>
        </w:tc>
        <w:tc>
          <w:tcPr>
            <w:tcW w:type="dxa" w:w="2160"/>
            <w:shd w:fill="F7F9FC"/>
            <w:tcMar>
              <w:top w:w="60" w:type="dxa"/>
              <w:bottom w:w="60" w:type="dxa"/>
              <w:left w:w="60" w:type="dxa"/>
              <w:right w:w="60" w:type="dxa"/>
            </w:tcMar>
          </w:tcPr>
          <w:p>
            <w:pPr>
              <w:spacing w:after="40"/>
            </w:pPr>
            <w:r>
              <w:rPr>
                <w:sz w:val="17"/>
              </w:rPr>
              <w:t>Docstring AST Inspection</w:t>
            </w:r>
          </w:p>
        </w:tc>
      </w:tr>
      <w:tr>
        <w:tc>
          <w:tcPr>
            <w:tcW w:type="dxa" w:w="1152"/>
            <w:shd w:fill="FFFFFF"/>
            <w:tcMar>
              <w:top w:w="60" w:type="dxa"/>
              <w:bottom w:w="60" w:type="dxa"/>
              <w:left w:w="60" w:type="dxa"/>
              <w:right w:w="60" w:type="dxa"/>
            </w:tcMar>
          </w:tcPr>
          <w:p>
            <w:pPr>
              <w:spacing w:after="40"/>
            </w:pPr>
            <w:r>
              <w:rPr>
                <w:b/>
                <w:sz w:val="17"/>
              </w:rPr>
              <w:t>FR-6</w:t>
            </w:r>
          </w:p>
        </w:tc>
        <w:tc>
          <w:tcPr>
            <w:tcW w:type="dxa" w:w="1872"/>
            <w:shd w:fill="FFFFFF"/>
            <w:tcMar>
              <w:top w:w="60" w:type="dxa"/>
              <w:bottom w:w="60" w:type="dxa"/>
              <w:left w:w="60" w:type="dxa"/>
              <w:right w:w="60" w:type="dxa"/>
            </w:tcMar>
          </w:tcPr>
          <w:p>
            <w:pPr>
              <w:spacing w:after="40"/>
            </w:pPr>
            <w:r>
              <w:rPr>
                <w:sz w:val="17"/>
              </w:rPr>
              <w:t>Clean ABAP RAG Lookup</w:t>
            </w:r>
          </w:p>
        </w:tc>
        <w:tc>
          <w:tcPr>
            <w:tcW w:type="dxa" w:w="2016"/>
            <w:shd w:fill="FFFFFF"/>
            <w:tcMar>
              <w:top w:w="60" w:type="dxa"/>
              <w:bottom w:w="60" w:type="dxa"/>
              <w:left w:w="60" w:type="dxa"/>
              <w:right w:w="60" w:type="dxa"/>
            </w:tcMar>
          </w:tcPr>
          <w:p>
            <w:pPr>
              <w:spacing w:after="40"/>
            </w:pPr>
            <w:r>
              <w:rPr>
                <w:sz w:val="17"/>
              </w:rPr>
              <w:t>Module 3 (RAG Engine)</w:t>
            </w:r>
          </w:p>
        </w:tc>
        <w:tc>
          <w:tcPr>
            <w:tcW w:type="dxa" w:w="2160"/>
            <w:shd w:fill="FFFFFF"/>
            <w:tcMar>
              <w:top w:w="60" w:type="dxa"/>
              <w:bottom w:w="60" w:type="dxa"/>
              <w:left w:w="60" w:type="dxa"/>
              <w:right w:w="60" w:type="dxa"/>
            </w:tcMar>
          </w:tcPr>
          <w:p>
            <w:pPr>
              <w:spacing w:after="40"/>
            </w:pPr>
            <w:r>
              <w:rPr>
                <w:sz w:val="17"/>
              </w:rPr>
              <w:t>/api/v1/rag/query</w:t>
            </w:r>
          </w:p>
        </w:tc>
        <w:tc>
          <w:tcPr>
            <w:tcW w:type="dxa" w:w="2160"/>
            <w:shd w:fill="FFFFFF"/>
            <w:tcMar>
              <w:top w:w="60" w:type="dxa"/>
              <w:bottom w:w="60" w:type="dxa"/>
              <w:left w:w="60" w:type="dxa"/>
              <w:right w:w="60" w:type="dxa"/>
            </w:tcMar>
          </w:tcPr>
          <w:p>
            <w:pPr>
              <w:spacing w:after="40"/>
            </w:pPr>
            <w:r>
              <w:rPr>
                <w:sz w:val="17"/>
              </w:rPr>
              <w:t>RAG Precision &amp; Recall Metric</w:t>
            </w:r>
          </w:p>
        </w:tc>
      </w:tr>
    </w:tbl>
    <w:p>
      <w:pPr>
        <w:keepNext/>
        <w:spacing w:before="360" w:after="120"/>
      </w:pPr>
      <w:r>
        <w:rPr>
          <w:rFonts w:ascii="Calibri" w:hAnsi="Calibri"/>
          <w:b/>
          <w:color w:val="0050A0"/>
          <w:sz w:val="30"/>
        </w:rPr>
        <w:t>9. Verification Plan &amp; Acceptance Sign-off</w:t>
      </w:r>
    </w:p>
    <w:p>
      <w:pPr>
        <w:spacing w:before="0" w:after="120" w:line="276" w:lineRule="auto"/>
      </w:pPr>
      <w:r>
        <w:rPr>
          <w:rFonts w:ascii="Calibri" w:hAnsi="Calibri"/>
          <w:color w:val="323232"/>
          <w:sz w:val="21"/>
        </w:rPr>
        <w:t>System verification will follow a rigorous automated and manual validation strategy prior to prototype sign-off.</w:t>
      </w:r>
    </w:p>
    <w:p>
      <w:pPr>
        <w:keepNext/>
        <w:spacing w:before="240" w:after="80"/>
      </w:pPr>
      <w:r>
        <w:rPr>
          <w:rFonts w:ascii="Calibri" w:hAnsi="Calibri"/>
          <w:b/>
          <w:color w:val="285A8C"/>
          <w:sz w:val="25"/>
        </w:rPr>
        <w:t>9.1 Automated Test Execution Suite</w:t>
      </w:r>
    </w:p>
    <w:p>
      <w:pPr>
        <w:pStyle w:val="ListBullet"/>
        <w:spacing w:before="0" w:after="60" w:line="276" w:lineRule="auto"/>
      </w:pPr>
      <w:r>
        <w:rPr>
          <w:rFonts w:ascii="Calibri" w:hAnsi="Calibri"/>
          <w:b/>
          <w:color w:val="1E1E1E"/>
          <w:sz w:val="21"/>
        </w:rPr>
        <w:t xml:space="preserve">1. API Integration Test Suite: </w:t>
      </w:r>
      <w:r>
        <w:rPr>
          <w:rFonts w:ascii="Calibri" w:hAnsi="Calibri"/>
          <w:color w:val="3C3C3C"/>
          <w:sz w:val="21"/>
        </w:rPr>
        <w:t>Pytest script verifying all FastAPI endpoints (/api/v1/completion/inline, /api/v1/atc/remediate) under load.</w:t>
      </w:r>
    </w:p>
    <w:p>
      <w:pPr>
        <w:pStyle w:val="ListBullet"/>
        <w:spacing w:before="0" w:after="60" w:line="276" w:lineRule="auto"/>
      </w:pPr>
      <w:r>
        <w:rPr>
          <w:rFonts w:ascii="Calibri" w:hAnsi="Calibri"/>
          <w:b/>
          <w:color w:val="1E1E1E"/>
          <w:sz w:val="21"/>
        </w:rPr>
        <w:t xml:space="preserve">2. RFC Backend Verification Test: </w:t>
      </w:r>
      <w:r>
        <w:rPr>
          <w:rFonts w:ascii="Calibri" w:hAnsi="Calibri"/>
          <w:color w:val="3C3C3C"/>
          <w:sz w:val="21"/>
        </w:rPr>
        <w:t>Executes /ZAI/SYNTAX_CHECK against 100 standard SAP test programs to verify syntax error detection accuracy.</w:t>
      </w:r>
    </w:p>
    <w:p>
      <w:pPr>
        <w:pStyle w:val="ListBullet"/>
        <w:spacing w:before="0" w:after="60" w:line="276" w:lineRule="auto"/>
      </w:pPr>
      <w:r>
        <w:rPr>
          <w:rFonts w:ascii="Calibri" w:hAnsi="Calibri"/>
          <w:b/>
          <w:color w:val="1E1E1E"/>
          <w:sz w:val="21"/>
        </w:rPr>
        <w:t xml:space="preserve">3. RAG Benchmark Test: </w:t>
      </w:r>
      <w:r>
        <w:rPr>
          <w:rFonts w:ascii="Calibri" w:hAnsi="Calibri"/>
          <w:color w:val="3C3C3C"/>
          <w:sz w:val="21"/>
        </w:rPr>
        <w:t>Evaluates RAG retrieval context relevance against 50 canonical Clean ABAP style questions.</w:t>
      </w:r>
    </w:p>
    <w:p>
      <w:pPr>
        <w:keepNext/>
        <w:spacing w:before="240" w:after="80"/>
      </w:pPr>
      <w:r>
        <w:rPr>
          <w:rFonts w:ascii="Calibri" w:hAnsi="Calibri"/>
          <w:b/>
          <w:color w:val="285A8C"/>
          <w:sz w:val="25"/>
        </w:rPr>
        <w:t>9.2 Acceptance Criteria &amp; Prototype Sign-off</w:t>
      </w:r>
    </w:p>
    <w:p>
      <w:pPr>
        <w:pStyle w:val="ListBullet"/>
        <w:spacing w:before="0" w:after="60" w:line="276" w:lineRule="auto"/>
      </w:pPr>
      <w:r>
        <w:rPr>
          <w:rFonts w:ascii="Calibri" w:hAnsi="Calibri"/>
          <w:b/>
          <w:color w:val="1E1E1E"/>
          <w:sz w:val="21"/>
        </w:rPr>
        <w:t xml:space="preserve">Criterion 1: </w:t>
      </w:r>
      <w:r>
        <w:rPr>
          <w:rFonts w:ascii="Calibri" w:hAnsi="Calibri"/>
          <w:color w:val="3C3C3C"/>
          <w:sz w:val="21"/>
        </w:rPr>
        <w:t>100% of generated ABAP code snippets pass target SAP RFC syntax checks without compilation errors.</w:t>
      </w:r>
    </w:p>
    <w:p>
      <w:pPr>
        <w:pStyle w:val="ListBullet"/>
        <w:spacing w:before="0" w:after="60" w:line="276" w:lineRule="auto"/>
      </w:pPr>
      <w:r>
        <w:rPr>
          <w:rFonts w:ascii="Calibri" w:hAnsi="Calibri"/>
          <w:b/>
          <w:color w:val="1E1E1E"/>
          <w:sz w:val="21"/>
        </w:rPr>
        <w:t xml:space="preserve">Criterion 2: </w:t>
      </w:r>
      <w:r>
        <w:rPr>
          <w:rFonts w:ascii="Calibri" w:hAnsi="Calibri"/>
          <w:color w:val="3C3C3C"/>
          <w:sz w:val="21"/>
        </w:rPr>
        <w:t>Zero Priority 1 (Security) or Priority 2 (Performance) warnings reported by ABAP Test Cockpit on generated CDS views.</w:t>
      </w:r>
    </w:p>
    <w:p>
      <w:pPr>
        <w:pStyle w:val="ListBullet"/>
        <w:spacing w:before="0" w:after="60" w:line="276" w:lineRule="auto"/>
      </w:pPr>
      <w:r>
        <w:rPr>
          <w:rFonts w:ascii="Calibri" w:hAnsi="Calibri"/>
          <w:b/>
          <w:color w:val="1E1E1E"/>
          <w:sz w:val="21"/>
        </w:rPr>
        <w:t xml:space="preserve">Criterion 3: </w:t>
      </w:r>
      <w:r>
        <w:rPr>
          <w:rFonts w:ascii="Calibri" w:hAnsi="Calibri"/>
          <w:color w:val="3C3C3C"/>
          <w:sz w:val="21"/>
        </w:rPr>
        <w:t>Median response latency for inline completion remains under 1.5 seconds across 1,000 test requests.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232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