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0070D2"/>
          <w:sz w:val="20"/>
        </w:rPr>
        <w:t>ENTERPRISE SAP MODERNIZATION BLUEPRINT | WEEK 2 DELIVERABLE</w:t>
        <w:br/>
      </w:r>
      <w:r>
        <w:rPr>
          <w:rFonts w:ascii="Calibri Light" w:hAnsi="Calibri Light"/>
          <w:b/>
          <w:color w:val="14233C"/>
          <w:sz w:val="48"/>
        </w:rPr>
        <w:t>Requirements Analysis &amp; Functional Design Document</w:t>
      </w:r>
    </w:p>
    <w:p>
      <w:pPr>
        <w:spacing w:before="0" w:after="320"/>
      </w:pPr>
      <w:r>
        <w:rPr>
          <w:rFonts w:ascii="Calibri" w:hAnsi="Calibri"/>
          <w:i/>
          <w:color w:val="646464"/>
          <w:sz w:val="23"/>
        </w:rPr>
        <w:t>Comprehensive Functional Specifications, Module Architecture, User Interface Mockups, Data Flow Diagrams &amp; Error Handling Strategy for Virtual SAP ABAP Assistant</w:t>
      </w:r>
    </w:p>
    <w:tbl>
      <w:tblPr>
        <w:tblW w:type="auto" w:w="0"/>
        <w:jc w:val="center"/>
        <w:tblLook w:firstColumn="1" w:firstRow="1" w:lastColumn="0" w:lastRow="0" w:noHBand="0" w:noVBand="1" w:val="04A0"/>
      </w:tblPr>
      <w:tblGrid>
        <w:gridCol w:w="4680"/>
        <w:gridCol w:w="4680"/>
      </w:tblGrid>
      <w:tr>
        <w:tc>
          <w:tcPr>
            <w:tcW w:type="dxa" w:w="2880"/>
            <w:shd w:fill="F7F9FC"/>
            <w:tcMar>
              <w:top w:w="60" w:type="dxa"/>
              <w:bottom w:w="60" w:type="dxa"/>
              <w:left w:w="100" w:type="dxa"/>
              <w:right w:w="100" w:type="dxa"/>
            </w:tcMar>
          </w:tcPr>
          <w:p>
            <w:pPr>
              <w:spacing w:after="40"/>
            </w:pPr>
            <w:r>
              <w:rPr>
                <w:b/>
                <w:color w:val="0070D2"/>
                <w:sz w:val="19"/>
              </w:rPr>
              <w:t>Project Identifier:</w:t>
            </w:r>
          </w:p>
        </w:tc>
        <w:tc>
          <w:tcPr>
            <w:tcW w:type="dxa" w:w="6480"/>
            <w:shd w:fill="F7F9FC"/>
            <w:tcMar>
              <w:top w:w="60" w:type="dxa"/>
              <w:bottom w:w="60" w:type="dxa"/>
              <w:left w:w="100" w:type="dxa"/>
              <w:right w:w="100" w:type="dxa"/>
            </w:tcMar>
          </w:tcPr>
          <w:p>
            <w:pPr>
              <w:spacing w:after="40"/>
            </w:pPr>
            <w:r>
              <w:rPr>
                <w:color w:val="3C3C3C"/>
                <w:sz w:val="19"/>
              </w:rPr>
              <w:t>SAP-AI-ABAP-2026-V2</w:t>
            </w:r>
          </w:p>
        </w:tc>
      </w:tr>
      <w:tr>
        <w:tc>
          <w:tcPr>
            <w:tcW w:type="dxa" w:w="2880"/>
            <w:shd w:fill="FFFFFF"/>
            <w:tcMar>
              <w:top w:w="60" w:type="dxa"/>
              <w:bottom w:w="60" w:type="dxa"/>
              <w:left w:w="100" w:type="dxa"/>
              <w:right w:w="100" w:type="dxa"/>
            </w:tcMar>
          </w:tcPr>
          <w:p>
            <w:pPr>
              <w:spacing w:after="40"/>
            </w:pPr>
            <w:r>
              <w:rPr>
                <w:b/>
                <w:color w:val="0070D2"/>
                <w:sz w:val="19"/>
              </w:rPr>
              <w:t>Document Phase:</w:t>
            </w:r>
          </w:p>
        </w:tc>
        <w:tc>
          <w:tcPr>
            <w:tcW w:type="dxa" w:w="6480"/>
            <w:shd w:fill="FFFFFF"/>
            <w:tcMar>
              <w:top w:w="60" w:type="dxa"/>
              <w:bottom w:w="60" w:type="dxa"/>
              <w:left w:w="100" w:type="dxa"/>
              <w:right w:w="100" w:type="dxa"/>
            </w:tcMar>
          </w:tcPr>
          <w:p>
            <w:pPr>
              <w:spacing w:after="40"/>
            </w:pPr>
            <w:r>
              <w:rPr>
                <w:color w:val="3C3C3C"/>
                <w:sz w:val="19"/>
              </w:rPr>
              <w:t>Week 2 - Requirements Analysis &amp; Functional Design</w:t>
            </w:r>
          </w:p>
        </w:tc>
      </w:tr>
      <w:tr>
        <w:tc>
          <w:tcPr>
            <w:tcW w:type="dxa" w:w="2880"/>
            <w:shd w:fill="F7F9FC"/>
            <w:tcMar>
              <w:top w:w="60" w:type="dxa"/>
              <w:bottom w:w="60" w:type="dxa"/>
              <w:left w:w="100" w:type="dxa"/>
              <w:right w:w="100" w:type="dxa"/>
            </w:tcMar>
          </w:tcPr>
          <w:p>
            <w:pPr>
              <w:spacing w:after="40"/>
            </w:pPr>
            <w:r>
              <w:rPr>
                <w:b/>
                <w:color w:val="0070D2"/>
                <w:sz w:val="19"/>
              </w:rPr>
              <w:t>Target Users:</w:t>
            </w:r>
          </w:p>
        </w:tc>
        <w:tc>
          <w:tcPr>
            <w:tcW w:type="dxa" w:w="6480"/>
            <w:shd w:fill="F7F9FC"/>
            <w:tcMar>
              <w:top w:w="60" w:type="dxa"/>
              <w:bottom w:w="60" w:type="dxa"/>
              <w:left w:w="100" w:type="dxa"/>
              <w:right w:w="100" w:type="dxa"/>
            </w:tcMar>
          </w:tcPr>
          <w:p>
            <w:pPr>
              <w:spacing w:after="40"/>
            </w:pPr>
            <w:r>
              <w:rPr>
                <w:color w:val="3C3C3C"/>
                <w:sz w:val="19"/>
              </w:rPr>
              <w:t>SAP ABAP Developers, SAP Solution Architects, QA Engineers</w:t>
            </w:r>
          </w:p>
        </w:tc>
      </w:tr>
      <w:tr>
        <w:tc>
          <w:tcPr>
            <w:tcW w:type="dxa" w:w="2880"/>
            <w:shd w:fill="FFFFFF"/>
            <w:tcMar>
              <w:top w:w="60" w:type="dxa"/>
              <w:bottom w:w="60" w:type="dxa"/>
              <w:left w:w="100" w:type="dxa"/>
              <w:right w:w="100" w:type="dxa"/>
            </w:tcMar>
          </w:tcPr>
          <w:p>
            <w:pPr>
              <w:spacing w:after="40"/>
            </w:pPr>
            <w:r>
              <w:rPr>
                <w:b/>
                <w:color w:val="0070D2"/>
                <w:sz w:val="19"/>
              </w:rPr>
              <w:t>Version &amp; Status:</w:t>
            </w:r>
          </w:p>
        </w:tc>
        <w:tc>
          <w:tcPr>
            <w:tcW w:type="dxa" w:w="6480"/>
            <w:shd w:fill="FFFFFF"/>
            <w:tcMar>
              <w:top w:w="60" w:type="dxa"/>
              <w:bottom w:w="60" w:type="dxa"/>
              <w:left w:w="100" w:type="dxa"/>
              <w:right w:w="100" w:type="dxa"/>
            </w:tcMar>
          </w:tcPr>
          <w:p>
            <w:pPr>
              <w:spacing w:after="40"/>
            </w:pPr>
            <w:r>
              <w:rPr>
                <w:color w:val="3C3C3C"/>
                <w:sz w:val="19"/>
              </w:rPr>
              <w:t>v2.0 (Approved Functional Design Document)</w:t>
            </w:r>
          </w:p>
        </w:tc>
      </w:tr>
    </w:tbl>
    <w:p>
      <w:pPr>
        <w:spacing w:after="240"/>
      </w:pPr>
    </w:p>
    <w:p>
      <w:pPr>
        <w:keepNext/>
        <w:spacing w:before="360" w:after="120"/>
      </w:pPr>
      <w:r>
        <w:rPr>
          <w:rFonts w:ascii="Calibri" w:hAnsi="Calibri"/>
          <w:b/>
          <w:color w:val="0050A0"/>
          <w:sz w:val="30"/>
        </w:rPr>
        <w:t>1. Executive Introduction &amp; Requirements Baseline</w:t>
      </w:r>
    </w:p>
    <w:p>
      <w:pPr>
        <w:spacing w:before="0" w:after="120" w:line="276" w:lineRule="auto"/>
      </w:pPr>
      <w:r>
        <w:rPr>
          <w:rFonts w:ascii="Calibri" w:hAnsi="Calibri"/>
          <w:color w:val="323232"/>
          <w:sz w:val="22"/>
        </w:rPr>
        <w:t>Building upon the Strategic Blueprint established in Week 1, this document provides the complete Functional Specifications and Requirements Analysis for the Virtual SAP ABAP Coding Assistant prototype. Software engineering inside SAP S/4HANA environments requires adherence to strict architectural paradigms, including the ABAP RESTful Application Programming Model (RAP), Core Data Services (CDS), and ABAP Test Cockpit (ATC) code inspector checks.</w:t>
      </w:r>
    </w:p>
    <w:p>
      <w:pPr>
        <w:spacing w:before="0" w:after="120" w:line="276" w:lineRule="auto"/>
      </w:pPr>
      <w:r>
        <w:rPr>
          <w:rFonts w:ascii="Calibri" w:hAnsi="Calibri"/>
          <w:color w:val="323232"/>
          <w:sz w:val="22"/>
        </w:rPr>
        <w:t>Based on extensive research into enterprise SAP modernization tools (such as Eclipse ADT extensions, SAP BTP AI Core, and Clean ABAP linters), the requirements captured in this specification bridge developer usability with robust enterprise governance.</w:t>
      </w:r>
    </w:p>
    <w:tbl>
      <w:tblPr>
        <w:tblW w:type="auto" w:w="0"/>
        <w:jc w:val="center"/>
        <w:tblLayout w:type="fixed"/>
        <w:tblLook w:firstColumn="1" w:firstRow="1" w:lastColumn="0" w:lastRow="0" w:noHBand="0" w:noVBand="1" w:val="04A0"/>
      </w:tblPr>
      <w:tblGrid>
        <w:gridCol w:w="9360"/>
      </w:tblGrid>
      <w:tr>
        <w:tc>
          <w:tcPr>
            <w:tcW w:type="dxa" w:w="9360"/>
            <w:shd w:fill="F0F4F8"/>
            <w:tcBorders>
              <w:top w:val="none"/>
              <w:left w:val="single" w:sz="36" w:space="0" w:color="0070D2"/>
              <w:bottom w:val="none"/>
              <w:right w:val="none"/>
            </w:tcBorders>
            <w:tcMar>
              <w:top w:w="140" w:type="dxa"/>
              <w:bottom w:w="140" w:type="dxa"/>
              <w:left w:w="200" w:type="dxa"/>
              <w:right w:w="150" w:type="dxa"/>
            </w:tcMar>
          </w:tcPr>
          <w:p>
            <w:pPr>
              <w:spacing w:before="40" w:after="80"/>
            </w:pPr>
            <w:r>
              <w:rPr>
                <w:rFonts w:ascii="Calibri" w:hAnsi="Calibri"/>
                <w:b/>
                <w:color w:val="0070D2"/>
                <w:sz w:val="22"/>
              </w:rPr>
              <w:t>📌 DESIGN RATIONALE MANDATE</w:t>
              <w:br/>
            </w:r>
            <w:r>
              <w:rPr>
                <w:rFonts w:ascii="Calibri" w:hAnsi="Calibri"/>
                <w:color w:val="282828"/>
                <w:sz w:val="21"/>
              </w:rPr>
              <w:t>The primary goal of this Functional Design is to define explicit component interactions, UI layouts, input/output schemas, and error-handling mechanisms to ensure seamless integration into developer workflows without violating enterprise SAP security or transport rules.</w:t>
            </w:r>
          </w:p>
        </w:tc>
      </w:tr>
    </w:tbl>
    <w:p>
      <w:pPr>
        <w:spacing w:before="0" w:after="120"/>
      </w:pPr>
    </w:p>
    <w:p>
      <w:pPr>
        <w:keepNext/>
        <w:spacing w:before="360" w:after="120"/>
      </w:pPr>
      <w:r>
        <w:rPr>
          <w:rFonts w:ascii="Calibri" w:hAnsi="Calibri"/>
          <w:b/>
          <w:color w:val="0050A0"/>
          <w:sz w:val="30"/>
        </w:rPr>
        <w:t>2. Functional Requirements Specification (FRS)</w:t>
      </w:r>
    </w:p>
    <w:p>
      <w:pPr>
        <w:spacing w:before="0" w:after="120" w:line="276" w:lineRule="auto"/>
      </w:pPr>
      <w:r>
        <w:rPr>
          <w:rFonts w:ascii="Calibri" w:hAnsi="Calibri"/>
          <w:color w:val="323232"/>
          <w:sz w:val="22"/>
        </w:rPr>
        <w:t>The functional requirements are categorized and prioritized using the MoSCoW framework (Must Have, Should Have, Could Have, Won't Have) to ensure disciplined prototype execution.</w:t>
      </w:r>
    </w:p>
    <w:tbl>
      <w:tblPr>
        <w:tblW w:type="auto" w:w="0"/>
        <w:jc w:val="center"/>
        <w:tblLook w:firstColumn="1" w:firstRow="1" w:lastColumn="0" w:lastRow="0" w:noHBand="0" w:noVBand="1" w:val="04A0"/>
      </w:tblPr>
      <w:tblGrid>
        <w:gridCol w:w="2340"/>
        <w:gridCol w:w="2340"/>
        <w:gridCol w:w="2340"/>
        <w:gridCol w:w="2340"/>
      </w:tblGrid>
      <w:tr>
        <w:tc>
          <w:tcPr>
            <w:tcW w:type="dxa" w:w="1440"/>
            <w:shd w:fill="0070D2"/>
            <w:tcMar>
              <w:top w:w="120" w:type="dxa"/>
              <w:bottom w:w="120" w:type="dxa"/>
              <w:left w:w="120" w:type="dxa"/>
              <w:right w:w="120" w:type="dxa"/>
            </w:tcMar>
          </w:tcPr>
          <w:p>
            <w:pPr>
              <w:jc w:val="left"/>
            </w:pPr>
            <w:r>
              <w:rPr>
                <w:rFonts w:ascii="Calibri" w:hAnsi="Calibri"/>
                <w:b/>
                <w:color w:val="FFFFFF"/>
                <w:sz w:val="20"/>
              </w:rPr>
              <w:t>Req ID</w:t>
            </w:r>
          </w:p>
        </w:tc>
        <w:tc>
          <w:tcPr>
            <w:tcW w:type="dxa" w:w="2592"/>
            <w:shd w:fill="0070D2"/>
            <w:tcMar>
              <w:top w:w="120" w:type="dxa"/>
              <w:bottom w:w="120" w:type="dxa"/>
              <w:left w:w="120" w:type="dxa"/>
              <w:right w:w="120" w:type="dxa"/>
            </w:tcMar>
          </w:tcPr>
          <w:p>
            <w:pPr>
              <w:jc w:val="left"/>
            </w:pPr>
            <w:r>
              <w:rPr>
                <w:rFonts w:ascii="Calibri" w:hAnsi="Calibri"/>
                <w:b/>
                <w:color w:val="FFFFFF"/>
                <w:sz w:val="20"/>
              </w:rPr>
              <w:t>Functional Module</w:t>
            </w:r>
          </w:p>
        </w:tc>
        <w:tc>
          <w:tcPr>
            <w:tcW w:type="dxa" w:w="3888"/>
            <w:shd w:fill="0070D2"/>
            <w:tcMar>
              <w:top w:w="120" w:type="dxa"/>
              <w:bottom w:w="120" w:type="dxa"/>
              <w:left w:w="120" w:type="dxa"/>
              <w:right w:w="120" w:type="dxa"/>
            </w:tcMar>
          </w:tcPr>
          <w:p>
            <w:pPr>
              <w:jc w:val="left"/>
            </w:pPr>
            <w:r>
              <w:rPr>
                <w:rFonts w:ascii="Calibri" w:hAnsi="Calibri"/>
                <w:b/>
                <w:color w:val="FFFFFF"/>
                <w:sz w:val="20"/>
              </w:rPr>
              <w:t>Detailed Functional Description</w:t>
            </w:r>
          </w:p>
        </w:tc>
        <w:tc>
          <w:tcPr>
            <w:tcW w:type="dxa" w:w="1440"/>
            <w:shd w:fill="0070D2"/>
            <w:tcMar>
              <w:top w:w="120" w:type="dxa"/>
              <w:bottom w:w="120" w:type="dxa"/>
              <w:left w:w="120" w:type="dxa"/>
              <w:right w:w="120" w:type="dxa"/>
            </w:tcMar>
          </w:tcPr>
          <w:p>
            <w:pPr>
              <w:jc w:val="left"/>
            </w:pPr>
            <w:r>
              <w:rPr>
                <w:rFonts w:ascii="Calibri" w:hAnsi="Calibri"/>
                <w:b/>
                <w:color w:val="FFFFFF"/>
                <w:sz w:val="20"/>
              </w:rPr>
              <w:t>MoSCoW</w:t>
            </w:r>
          </w:p>
        </w:tc>
      </w:tr>
      <w:tr>
        <w:tc>
          <w:tcPr>
            <w:tcW w:type="dxa" w:w="1440"/>
            <w:shd w:fill="F9FAFC"/>
            <w:tcMar>
              <w:top w:w="80" w:type="dxa"/>
              <w:bottom w:w="80" w:type="dxa"/>
              <w:left w:w="80" w:type="dxa"/>
              <w:right w:w="80" w:type="dxa"/>
            </w:tcMar>
          </w:tcPr>
          <w:p>
            <w:pPr>
              <w:spacing w:after="40"/>
            </w:pPr>
            <w:r>
              <w:rPr>
                <w:b/>
                <w:color w:val="00468C"/>
                <w:sz w:val="19"/>
              </w:rPr>
              <w:t>FR-01</w:t>
            </w:r>
          </w:p>
        </w:tc>
        <w:tc>
          <w:tcPr>
            <w:tcW w:type="dxa" w:w="2592"/>
            <w:shd w:fill="F9FAFC"/>
            <w:tcMar>
              <w:top w:w="80" w:type="dxa"/>
              <w:bottom w:w="80" w:type="dxa"/>
              <w:left w:w="80" w:type="dxa"/>
              <w:right w:w="80" w:type="dxa"/>
            </w:tcMar>
          </w:tcPr>
          <w:p>
            <w:pPr>
              <w:spacing w:after="40"/>
            </w:pPr>
            <w:r>
              <w:rPr>
                <w:color w:val="323232"/>
                <w:sz w:val="19"/>
              </w:rPr>
              <w:t>Inline Code Completion</w:t>
            </w:r>
          </w:p>
        </w:tc>
        <w:tc>
          <w:tcPr>
            <w:tcW w:type="dxa" w:w="3888"/>
            <w:shd w:fill="F9FAFC"/>
            <w:tcMar>
              <w:top w:w="80" w:type="dxa"/>
              <w:bottom w:w="80" w:type="dxa"/>
              <w:left w:w="80" w:type="dxa"/>
              <w:right w:w="80" w:type="dxa"/>
            </w:tcMar>
          </w:tcPr>
          <w:p>
            <w:pPr>
              <w:spacing w:after="40"/>
            </w:pPr>
            <w:r>
              <w:rPr>
                <w:color w:val="323232"/>
                <w:sz w:val="19"/>
              </w:rPr>
              <w:t>Context-aware ABAP completion supporting modern 7.4/7.5+ syntax (inline declarations `DATA(...)`, string templates, table expressions) directly inside Eclipse ADT editor.</w:t>
            </w:r>
          </w:p>
        </w:tc>
        <w:tc>
          <w:tcPr>
            <w:tcW w:type="dxa" w:w="1440"/>
            <w:shd w:fill="F9FAFC"/>
            <w:tcMar>
              <w:top w:w="80" w:type="dxa"/>
              <w:bottom w:w="80" w:type="dxa"/>
              <w:left w:w="80" w:type="dxa"/>
              <w:right w:w="80" w:type="dxa"/>
            </w:tcMar>
          </w:tcPr>
          <w:p>
            <w:pPr>
              <w:spacing w:after="40"/>
            </w:pPr>
            <w:r>
              <w:rPr>
                <w:b/>
                <w:color w:val="0070D2"/>
                <w:sz w:val="19"/>
              </w:rPr>
              <w:t>Must Have</w:t>
            </w:r>
          </w:p>
        </w:tc>
      </w:tr>
      <w:tr>
        <w:tc>
          <w:tcPr>
            <w:tcW w:type="dxa" w:w="1440"/>
            <w:shd w:fill="FFFFFF"/>
            <w:tcMar>
              <w:top w:w="80" w:type="dxa"/>
              <w:bottom w:w="80" w:type="dxa"/>
              <w:left w:w="80" w:type="dxa"/>
              <w:right w:w="80" w:type="dxa"/>
            </w:tcMar>
          </w:tcPr>
          <w:p>
            <w:pPr>
              <w:spacing w:after="40"/>
            </w:pPr>
            <w:r>
              <w:rPr>
                <w:b/>
                <w:color w:val="00468C"/>
                <w:sz w:val="19"/>
              </w:rPr>
              <w:t>FR-02</w:t>
            </w:r>
          </w:p>
        </w:tc>
        <w:tc>
          <w:tcPr>
            <w:tcW w:type="dxa" w:w="2592"/>
            <w:shd w:fill="FFFFFF"/>
            <w:tcMar>
              <w:top w:w="80" w:type="dxa"/>
              <w:bottom w:w="80" w:type="dxa"/>
              <w:left w:w="80" w:type="dxa"/>
              <w:right w:w="80" w:type="dxa"/>
            </w:tcMar>
          </w:tcPr>
          <w:p>
            <w:pPr>
              <w:spacing w:after="40"/>
            </w:pPr>
            <w:r>
              <w:rPr>
                <w:color w:val="323232"/>
                <w:sz w:val="19"/>
              </w:rPr>
              <w:t>RAP &amp; CDS Scaffolding</w:t>
            </w:r>
          </w:p>
        </w:tc>
        <w:tc>
          <w:tcPr>
            <w:tcW w:type="dxa" w:w="3888"/>
            <w:shd w:fill="FFFFFF"/>
            <w:tcMar>
              <w:top w:w="80" w:type="dxa"/>
              <w:bottom w:w="80" w:type="dxa"/>
              <w:left w:w="80" w:type="dxa"/>
              <w:right w:w="80" w:type="dxa"/>
            </w:tcMar>
          </w:tcPr>
          <w:p>
            <w:pPr>
              <w:spacing w:after="40"/>
            </w:pPr>
            <w:r>
              <w:rPr>
                <w:color w:val="323232"/>
                <w:sz w:val="19"/>
              </w:rPr>
              <w:t>Automated code generation for Core Data Services (CDS) view definitions, Business Object Behavior Definitions (BDEF), and EML transactional logic.</w:t>
            </w:r>
          </w:p>
        </w:tc>
        <w:tc>
          <w:tcPr>
            <w:tcW w:type="dxa" w:w="1440"/>
            <w:shd w:fill="FFFFFF"/>
            <w:tcMar>
              <w:top w:w="80" w:type="dxa"/>
              <w:bottom w:w="80" w:type="dxa"/>
              <w:left w:w="80" w:type="dxa"/>
              <w:right w:w="80" w:type="dxa"/>
            </w:tcMar>
          </w:tcPr>
          <w:p>
            <w:pPr>
              <w:spacing w:after="40"/>
            </w:pPr>
            <w:r>
              <w:rPr>
                <w:b/>
                <w:color w:val="0070D2"/>
                <w:sz w:val="19"/>
              </w:rPr>
              <w:t>Must Have</w:t>
            </w:r>
          </w:p>
        </w:tc>
      </w:tr>
      <w:tr>
        <w:tc>
          <w:tcPr>
            <w:tcW w:type="dxa" w:w="1440"/>
            <w:shd w:fill="F9FAFC"/>
            <w:tcMar>
              <w:top w:w="80" w:type="dxa"/>
              <w:bottom w:w="80" w:type="dxa"/>
              <w:left w:w="80" w:type="dxa"/>
              <w:right w:w="80" w:type="dxa"/>
            </w:tcMar>
          </w:tcPr>
          <w:p>
            <w:pPr>
              <w:spacing w:after="40"/>
            </w:pPr>
            <w:r>
              <w:rPr>
                <w:b/>
                <w:color w:val="00468C"/>
                <w:sz w:val="19"/>
              </w:rPr>
              <w:t>FR-03</w:t>
            </w:r>
          </w:p>
        </w:tc>
        <w:tc>
          <w:tcPr>
            <w:tcW w:type="dxa" w:w="2592"/>
            <w:shd w:fill="F9FAFC"/>
            <w:tcMar>
              <w:top w:w="80" w:type="dxa"/>
              <w:bottom w:w="80" w:type="dxa"/>
              <w:left w:w="80" w:type="dxa"/>
              <w:right w:w="80" w:type="dxa"/>
            </w:tcMar>
          </w:tcPr>
          <w:p>
            <w:pPr>
              <w:spacing w:after="40"/>
            </w:pPr>
            <w:r>
              <w:rPr>
                <w:color w:val="323232"/>
                <w:sz w:val="19"/>
              </w:rPr>
              <w:t>ATC Auto-Remediation</w:t>
            </w:r>
          </w:p>
        </w:tc>
        <w:tc>
          <w:tcPr>
            <w:tcW w:type="dxa" w:w="3888"/>
            <w:shd w:fill="F9FAFC"/>
            <w:tcMar>
              <w:top w:w="80" w:type="dxa"/>
              <w:bottom w:w="80" w:type="dxa"/>
              <w:left w:w="80" w:type="dxa"/>
              <w:right w:w="80" w:type="dxa"/>
            </w:tcMar>
          </w:tcPr>
          <w:p>
            <w:pPr>
              <w:spacing w:after="40"/>
            </w:pPr>
            <w:r>
              <w:rPr>
                <w:color w:val="323232"/>
                <w:sz w:val="19"/>
              </w:rPr>
              <w:t>Real-time parsing of ABAP Test Cockpit (ATC) static code inspector warnings and 1-click automated refactoring according to Clean ABAP rules.</w:t>
            </w:r>
          </w:p>
        </w:tc>
        <w:tc>
          <w:tcPr>
            <w:tcW w:type="dxa" w:w="1440"/>
            <w:shd w:fill="F9FAFC"/>
            <w:tcMar>
              <w:top w:w="80" w:type="dxa"/>
              <w:bottom w:w="80" w:type="dxa"/>
              <w:left w:w="80" w:type="dxa"/>
              <w:right w:w="80" w:type="dxa"/>
            </w:tcMar>
          </w:tcPr>
          <w:p>
            <w:pPr>
              <w:spacing w:after="40"/>
            </w:pPr>
            <w:r>
              <w:rPr>
                <w:b/>
                <w:color w:val="0070D2"/>
                <w:sz w:val="19"/>
              </w:rPr>
              <w:t>Must Have</w:t>
            </w:r>
          </w:p>
        </w:tc>
      </w:tr>
      <w:tr>
        <w:tc>
          <w:tcPr>
            <w:tcW w:type="dxa" w:w="1440"/>
            <w:shd w:fill="FFFFFF"/>
            <w:tcMar>
              <w:top w:w="80" w:type="dxa"/>
              <w:bottom w:w="80" w:type="dxa"/>
              <w:left w:w="80" w:type="dxa"/>
              <w:right w:w="80" w:type="dxa"/>
            </w:tcMar>
          </w:tcPr>
          <w:p>
            <w:pPr>
              <w:spacing w:after="40"/>
            </w:pPr>
            <w:r>
              <w:rPr>
                <w:b/>
                <w:color w:val="00468C"/>
                <w:sz w:val="19"/>
              </w:rPr>
              <w:t>FR-04</w:t>
            </w:r>
          </w:p>
        </w:tc>
        <w:tc>
          <w:tcPr>
            <w:tcW w:type="dxa" w:w="2592"/>
            <w:shd w:fill="FFFFFF"/>
            <w:tcMar>
              <w:top w:w="80" w:type="dxa"/>
              <w:bottom w:w="80" w:type="dxa"/>
              <w:left w:w="80" w:type="dxa"/>
              <w:right w:w="80" w:type="dxa"/>
            </w:tcMar>
          </w:tcPr>
          <w:p>
            <w:pPr>
              <w:spacing w:after="40"/>
            </w:pPr>
            <w:r>
              <w:rPr>
                <w:color w:val="323232"/>
                <w:sz w:val="19"/>
              </w:rPr>
              <w:t>ABAP Unit Generator</w:t>
            </w:r>
          </w:p>
        </w:tc>
        <w:tc>
          <w:tcPr>
            <w:tcW w:type="dxa" w:w="3888"/>
            <w:shd w:fill="FFFFFF"/>
            <w:tcMar>
              <w:top w:w="80" w:type="dxa"/>
              <w:bottom w:w="80" w:type="dxa"/>
              <w:left w:w="80" w:type="dxa"/>
              <w:right w:w="80" w:type="dxa"/>
            </w:tcMar>
          </w:tcPr>
          <w:p>
            <w:pPr>
              <w:spacing w:after="40"/>
            </w:pPr>
            <w:r>
              <w:rPr>
                <w:color w:val="323232"/>
                <w:sz w:val="19"/>
              </w:rPr>
              <w:t>Automatic scaffold generation of ABAP Unit test classes using `CL_ABAP_UNIT_ASSERT` methods for custom method signatures.</w:t>
            </w:r>
          </w:p>
        </w:tc>
        <w:tc>
          <w:tcPr>
            <w:tcW w:type="dxa" w:w="1440"/>
            <w:shd w:fill="FFFFFF"/>
            <w:tcMar>
              <w:top w:w="80" w:type="dxa"/>
              <w:bottom w:w="80" w:type="dxa"/>
              <w:left w:w="80" w:type="dxa"/>
              <w:right w:w="80" w:type="dxa"/>
            </w:tcMar>
          </w:tcPr>
          <w:p>
            <w:pPr>
              <w:spacing w:after="40"/>
            </w:pPr>
            <w:r>
              <w:rPr>
                <w:b/>
                <w:color w:val="0070D2"/>
                <w:sz w:val="19"/>
              </w:rPr>
              <w:t>Must Have</w:t>
            </w:r>
          </w:p>
        </w:tc>
      </w:tr>
      <w:tr>
        <w:tc>
          <w:tcPr>
            <w:tcW w:type="dxa" w:w="1440"/>
            <w:shd w:fill="F9FAFC"/>
            <w:tcMar>
              <w:top w:w="80" w:type="dxa"/>
              <w:bottom w:w="80" w:type="dxa"/>
              <w:left w:w="80" w:type="dxa"/>
              <w:right w:w="80" w:type="dxa"/>
            </w:tcMar>
          </w:tcPr>
          <w:p>
            <w:pPr>
              <w:spacing w:after="40"/>
            </w:pPr>
            <w:r>
              <w:rPr>
                <w:b/>
                <w:color w:val="00468C"/>
                <w:sz w:val="19"/>
              </w:rPr>
              <w:t>FR-05</w:t>
            </w:r>
          </w:p>
        </w:tc>
        <w:tc>
          <w:tcPr>
            <w:tcW w:type="dxa" w:w="2592"/>
            <w:shd w:fill="F9FAFC"/>
            <w:tcMar>
              <w:top w:w="80" w:type="dxa"/>
              <w:bottom w:w="80" w:type="dxa"/>
              <w:left w:w="80" w:type="dxa"/>
              <w:right w:w="80" w:type="dxa"/>
            </w:tcMar>
          </w:tcPr>
          <w:p>
            <w:pPr>
              <w:spacing w:after="40"/>
            </w:pPr>
            <w:r>
              <w:rPr>
                <w:color w:val="323232"/>
                <w:sz w:val="19"/>
              </w:rPr>
              <w:t>ABAP Doc &amp; BAPI Explainer</w:t>
            </w:r>
          </w:p>
        </w:tc>
        <w:tc>
          <w:tcPr>
            <w:tcW w:type="dxa" w:w="3888"/>
            <w:shd w:fill="F9FAFC"/>
            <w:tcMar>
              <w:top w:w="80" w:type="dxa"/>
              <w:bottom w:w="80" w:type="dxa"/>
              <w:left w:w="80" w:type="dxa"/>
              <w:right w:w="80" w:type="dxa"/>
            </w:tcMar>
          </w:tcPr>
          <w:p>
            <w:pPr>
              <w:spacing w:after="40"/>
            </w:pPr>
            <w:r>
              <w:rPr>
                <w:color w:val="323232"/>
                <w:sz w:val="19"/>
              </w:rPr>
              <w:t>Automated generation of ABAP Doc comment blocks (`"! ...`) for methods and natural-language explanation of complex SAP BAPIs.</w:t>
            </w:r>
          </w:p>
        </w:tc>
        <w:tc>
          <w:tcPr>
            <w:tcW w:type="dxa" w:w="1440"/>
            <w:shd w:fill="F9FAFC"/>
            <w:tcMar>
              <w:top w:w="80" w:type="dxa"/>
              <w:bottom w:w="80" w:type="dxa"/>
              <w:left w:w="80" w:type="dxa"/>
              <w:right w:w="80" w:type="dxa"/>
            </w:tcMar>
          </w:tcPr>
          <w:p>
            <w:pPr>
              <w:spacing w:after="40"/>
            </w:pPr>
            <w:r>
              <w:rPr>
                <w:b/>
                <w:color w:val="646464"/>
                <w:sz w:val="19"/>
              </w:rPr>
              <w:t>Should Have</w:t>
            </w:r>
          </w:p>
        </w:tc>
      </w:tr>
      <w:tr>
        <w:tc>
          <w:tcPr>
            <w:tcW w:type="dxa" w:w="1440"/>
            <w:shd w:fill="FFFFFF"/>
            <w:tcMar>
              <w:top w:w="80" w:type="dxa"/>
              <w:bottom w:w="80" w:type="dxa"/>
              <w:left w:w="80" w:type="dxa"/>
              <w:right w:w="80" w:type="dxa"/>
            </w:tcMar>
          </w:tcPr>
          <w:p>
            <w:pPr>
              <w:spacing w:after="40"/>
            </w:pPr>
            <w:r>
              <w:rPr>
                <w:b/>
                <w:color w:val="00468C"/>
                <w:sz w:val="19"/>
              </w:rPr>
              <w:t>FR-06</w:t>
            </w:r>
          </w:p>
        </w:tc>
        <w:tc>
          <w:tcPr>
            <w:tcW w:type="dxa" w:w="2592"/>
            <w:shd w:fill="FFFFFF"/>
            <w:tcMar>
              <w:top w:w="80" w:type="dxa"/>
              <w:bottom w:w="80" w:type="dxa"/>
              <w:left w:w="80" w:type="dxa"/>
              <w:right w:w="80" w:type="dxa"/>
            </w:tcMar>
          </w:tcPr>
          <w:p>
            <w:pPr>
              <w:spacing w:after="40"/>
            </w:pPr>
            <w:r>
              <w:rPr>
                <w:color w:val="323232"/>
                <w:sz w:val="19"/>
              </w:rPr>
              <w:t>Clean ABAP Linter</w:t>
            </w:r>
          </w:p>
        </w:tc>
        <w:tc>
          <w:tcPr>
            <w:tcW w:type="dxa" w:w="3888"/>
            <w:shd w:fill="FFFFFF"/>
            <w:tcMar>
              <w:top w:w="80" w:type="dxa"/>
              <w:bottom w:w="80" w:type="dxa"/>
              <w:left w:w="80" w:type="dxa"/>
              <w:right w:w="80" w:type="dxa"/>
            </w:tcMar>
          </w:tcPr>
          <w:p>
            <w:pPr>
              <w:spacing w:after="40"/>
            </w:pPr>
            <w:r>
              <w:rPr>
                <w:color w:val="323232"/>
                <w:sz w:val="19"/>
              </w:rPr>
              <w:t>Interactive sidebar panel displaying real-time Clean ABAP adherence scores and highlighting deprecated keywords (`TABLES`, `MOVE`).</w:t>
            </w:r>
          </w:p>
        </w:tc>
        <w:tc>
          <w:tcPr>
            <w:tcW w:type="dxa" w:w="1440"/>
            <w:shd w:fill="FFFFFF"/>
            <w:tcMar>
              <w:top w:w="80" w:type="dxa"/>
              <w:bottom w:w="80" w:type="dxa"/>
              <w:left w:w="80" w:type="dxa"/>
              <w:right w:w="80" w:type="dxa"/>
            </w:tcMar>
          </w:tcPr>
          <w:p>
            <w:pPr>
              <w:spacing w:after="40"/>
            </w:pPr>
            <w:r>
              <w:rPr>
                <w:b/>
                <w:color w:val="646464"/>
                <w:sz w:val="19"/>
              </w:rPr>
              <w:t>Should Have</w:t>
            </w:r>
          </w:p>
        </w:tc>
      </w:tr>
    </w:tbl>
    <w:p>
      <w:pPr>
        <w:spacing w:after="160"/>
      </w:pPr>
    </w:p>
    <w:p>
      <w:pPr>
        <w:keepNext/>
        <w:spacing w:before="360" w:after="120"/>
      </w:pPr>
      <w:r>
        <w:rPr>
          <w:rFonts w:ascii="Calibri" w:hAnsi="Calibri"/>
          <w:b/>
          <w:color w:val="0050A0"/>
          <w:sz w:val="30"/>
        </w:rPr>
        <w:t>3. Non-Functional Requirements (NFRs)</w:t>
      </w:r>
    </w:p>
    <w:p>
      <w:pPr>
        <w:spacing w:before="0" w:after="120" w:line="276" w:lineRule="auto"/>
      </w:pPr>
      <w:r>
        <w:rPr>
          <w:rFonts w:ascii="Calibri" w:hAnsi="Calibri"/>
          <w:color w:val="323232"/>
          <w:sz w:val="22"/>
        </w:rPr>
        <w:t>To operate effectively within an enterprise SAP environment, the system must adhere to strict non-functional constraints governing performance, security, availability, and usability.</w:t>
      </w:r>
    </w:p>
    <w:p>
      <w:pPr>
        <w:keepNext/>
        <w:spacing w:before="240" w:after="80"/>
      </w:pPr>
      <w:r>
        <w:rPr>
          <w:rFonts w:ascii="Calibri" w:hAnsi="Calibri"/>
          <w:b/>
          <w:color w:val="285A8C"/>
          <w:sz w:val="25"/>
        </w:rPr>
        <w:t>3.1 Performance &amp; Latency Requirements</w:t>
      </w:r>
    </w:p>
    <w:p>
      <w:pPr>
        <w:pStyle w:val="ListBullet"/>
        <w:spacing w:before="0" w:after="60" w:line="276" w:lineRule="auto"/>
      </w:pPr>
      <w:r>
        <w:rPr>
          <w:rFonts w:ascii="Calibri" w:hAnsi="Calibri"/>
          <w:b/>
          <w:color w:val="1E1E1E"/>
          <w:sz w:val="22"/>
        </w:rPr>
        <w:t xml:space="preserve">NFR-PERF-01 (Inference Latency): </w:t>
      </w:r>
      <w:r>
        <w:rPr>
          <w:rFonts w:ascii="Calibri" w:hAnsi="Calibri"/>
          <w:color w:val="3C3C3C"/>
          <w:sz w:val="22"/>
        </w:rPr>
        <w:t>Median response time for inline code completion suggestions must remain under 1.5 seconds to prevent interrupting developer flow in Eclipse ADT.</w:t>
      </w:r>
    </w:p>
    <w:p>
      <w:pPr>
        <w:pStyle w:val="ListBullet"/>
        <w:spacing w:before="0" w:after="60" w:line="276" w:lineRule="auto"/>
      </w:pPr>
      <w:r>
        <w:rPr>
          <w:rFonts w:ascii="Calibri" w:hAnsi="Calibri"/>
          <w:b/>
          <w:color w:val="1E1E1E"/>
          <w:sz w:val="22"/>
        </w:rPr>
        <w:t xml:space="preserve">NFR-PERF-02 (Local Cache Response): </w:t>
      </w:r>
      <w:r>
        <w:rPr>
          <w:rFonts w:ascii="Calibri" w:hAnsi="Calibri"/>
          <w:color w:val="3C3C3C"/>
          <w:sz w:val="22"/>
        </w:rPr>
        <w:t>Cached keyword lookups and Clean ABAP rule searches must respond within 500 milliseconds.</w:t>
      </w:r>
    </w:p>
    <w:p>
      <w:pPr>
        <w:pStyle w:val="ListBullet"/>
        <w:spacing w:before="0" w:after="60" w:line="276" w:lineRule="auto"/>
      </w:pPr>
      <w:r>
        <w:rPr>
          <w:rFonts w:ascii="Calibri" w:hAnsi="Calibri"/>
          <w:b/>
          <w:color w:val="1E1E1E"/>
          <w:sz w:val="22"/>
        </w:rPr>
        <w:t xml:space="preserve">NFR-PERF-03 (Concurrent Sessions): </w:t>
      </w:r>
      <w:r>
        <w:rPr>
          <w:rFonts w:ascii="Calibri" w:hAnsi="Calibri"/>
          <w:color w:val="3C3C3C"/>
          <w:sz w:val="22"/>
        </w:rPr>
        <w:t>The SAP BTP AI Gateway must support up to 200 concurrent developer IDE sessions without throughput degradation.</w:t>
      </w:r>
    </w:p>
    <w:p>
      <w:pPr>
        <w:keepNext/>
        <w:spacing w:before="240" w:after="80"/>
      </w:pPr>
      <w:r>
        <w:rPr>
          <w:rFonts w:ascii="Calibri" w:hAnsi="Calibri"/>
          <w:b/>
          <w:color w:val="285A8C"/>
          <w:sz w:val="25"/>
        </w:rPr>
        <w:t>3.2 Enterprise Security &amp; Data Governance</w:t>
      </w:r>
    </w:p>
    <w:p>
      <w:pPr>
        <w:pStyle w:val="ListBullet"/>
        <w:spacing w:before="0" w:after="60" w:line="276" w:lineRule="auto"/>
      </w:pPr>
      <w:r>
        <w:rPr>
          <w:rFonts w:ascii="Calibri" w:hAnsi="Calibri"/>
          <w:b/>
          <w:color w:val="1E1E1E"/>
          <w:sz w:val="22"/>
        </w:rPr>
        <w:t xml:space="preserve">NFR-SEC-01 (Zero Code Retention): </w:t>
      </w:r>
      <w:r>
        <w:rPr>
          <w:rFonts w:ascii="Calibri" w:hAnsi="Calibri"/>
          <w:color w:val="3C3C3C"/>
          <w:sz w:val="22"/>
        </w:rPr>
        <w:t>Cloud LLM endpoints (Azure OpenAI / SAP BTP AI Core) must operate under strict zero-data-retention agreements to protect enterprise IP.</w:t>
      </w:r>
    </w:p>
    <w:p>
      <w:pPr>
        <w:pStyle w:val="ListBullet"/>
        <w:spacing w:before="0" w:after="60" w:line="276" w:lineRule="auto"/>
      </w:pPr>
      <w:r>
        <w:rPr>
          <w:rFonts w:ascii="Calibri" w:hAnsi="Calibri"/>
          <w:b/>
          <w:color w:val="1E1E1E"/>
          <w:sz w:val="22"/>
        </w:rPr>
        <w:t xml:space="preserve">NFR-SEC-02 (Client-Side PII Masking): </w:t>
      </w:r>
      <w:r>
        <w:rPr>
          <w:rFonts w:ascii="Calibri" w:hAnsi="Calibri"/>
          <w:color w:val="3C3C3C"/>
          <w:sz w:val="22"/>
        </w:rPr>
        <w:t>The AI Middleware Gateway must automatically strip sensitive business table names, customer PII data, and hardcoded credentials prior to LLM prompt dispatch.</w:t>
      </w:r>
    </w:p>
    <w:p>
      <w:pPr>
        <w:pStyle w:val="ListBullet"/>
        <w:spacing w:before="0" w:after="60" w:line="276" w:lineRule="auto"/>
      </w:pPr>
      <w:r>
        <w:rPr>
          <w:rFonts w:ascii="Calibri" w:hAnsi="Calibri"/>
          <w:b/>
          <w:color w:val="1E1E1E"/>
          <w:sz w:val="22"/>
        </w:rPr>
        <w:t xml:space="preserve">NFR-SEC-03 (Authentication &amp; TLS): </w:t>
      </w:r>
      <w:r>
        <w:rPr>
          <w:rFonts w:ascii="Calibri" w:hAnsi="Calibri"/>
          <w:color w:val="3C3C3C"/>
          <w:sz w:val="22"/>
        </w:rPr>
        <w:t>All client-to-gateway traffic must be encrypted via TLS 1.3 and authenticated using SAP Identity Authentication Service (IAS) OAuth 2.0 tokens.</w:t>
      </w:r>
    </w:p>
    <w:p>
      <w:pPr>
        <w:keepNext/>
        <w:spacing w:before="360" w:after="120"/>
      </w:pPr>
      <w:r>
        <w:rPr>
          <w:rFonts w:ascii="Calibri" w:hAnsi="Calibri"/>
          <w:b/>
          <w:color w:val="0050A0"/>
          <w:sz w:val="30"/>
        </w:rPr>
        <w:t>4. System Sequence &amp; Data Flow Architecture</w:t>
      </w:r>
    </w:p>
    <w:p>
      <w:pPr>
        <w:spacing w:before="0" w:after="120" w:line="276" w:lineRule="auto"/>
      </w:pPr>
      <w:r>
        <w:rPr>
          <w:rFonts w:ascii="Calibri" w:hAnsi="Calibri"/>
          <w:color w:val="323232"/>
          <w:sz w:val="22"/>
        </w:rPr>
        <w:t>Understanding data interaction across the 5 system layers is crucial for reliable execution. Below is the Data Flow Diagram (DFD) and detailed System Sequence workflow.</w:t>
      </w:r>
    </w:p>
    <w:p>
      <w:pPr>
        <w:keepNext/>
        <w:spacing w:before="240" w:after="80"/>
      </w:pPr>
      <w:r>
        <w:rPr>
          <w:rFonts w:ascii="Calibri" w:hAnsi="Calibri"/>
          <w:b/>
          <w:color w:val="285A8C"/>
          <w:sz w:val="25"/>
        </w:rPr>
        <w:t>4.1 End-to-End System Sequence Diagram</w:t>
      </w:r>
    </w:p>
    <w:tbl>
      <w:tblPr>
        <w:tblW w:type="auto" w:w="0"/>
        <w:jc w:val="center"/>
        <w:tblLook w:firstColumn="1" w:firstRow="1" w:lastColumn="0" w:lastRow="0" w:noHBand="0" w:noVBand="1" w:val="04A0"/>
      </w:tblPr>
      <w:tblGrid>
        <w:gridCol w:w="9360"/>
      </w:tblGrid>
      <w:tr>
        <w:tc>
          <w:tcPr>
            <w:tcW w:type="dxa" w:w="9360"/>
            <w:shd w:fill="F4F6FB"/>
            <w:tcMar>
              <w:top w:w="140" w:type="dxa"/>
              <w:bottom w:w="140" w:type="dxa"/>
              <w:left w:w="150" w:type="dxa"/>
              <w:right w:w="150" w:type="dxa"/>
            </w:tcMar>
          </w:tcPr>
          <w:p>
            <w:pPr>
              <w:spacing w:before="40" w:after="40"/>
            </w:pPr>
            <w:r>
              <w:rPr>
                <w:rFonts w:ascii="Consolas" w:hAnsi="Consolas"/>
                <w:color w:val="003264"/>
                <w:sz w:val="17"/>
              </w:rPr>
              <w:t>Developer (IDE)        AI Gateway (BTP)       Vector DB (RAG)        LLM Engine        SAP S/4HANA (RFC)</w:t>
              <w:br/>
              <w:t xml:space="preserve">   |                        |                      |                    |                  |</w:t>
              <w:br/>
              <w:t xml:space="preserve">   |--- 1. Trigger Code ---&gt;|                      |                    |                  |</w:t>
              <w:br/>
              <w:t xml:space="preserve">   |    Completion          |                      |                    |                  |</w:t>
              <w:br/>
              <w:t xml:space="preserve">   |                        |--- 2. Query RAG ----&gt;|                    |                  |</w:t>
              <w:br/>
              <w:t xml:space="preserve">   |                        |    Syntax Context    |                    |                  |</w:t>
              <w:br/>
              <w:t xml:space="preserve">   |                        |&lt;-- 3. Return Embeds -|                    |                  |</w:t>
              <w:br/>
              <w:t xml:space="preserve">   |                        |                      |                    |                  |</w:t>
              <w:br/>
              <w:t xml:space="preserve">   |                        |--- 4. Prompt Request (Sanitized) --------&gt;|                  |</w:t>
              <w:br/>
              <w:t xml:space="preserve">   |                        |&lt;-- 5. Synthesized ABAP Code ---------------|                  |</w:t>
              <w:br/>
              <w:t xml:space="preserve">   |                        |                      |                    |                  |</w:t>
              <w:br/>
              <w:t xml:space="preserve">   |                        |--- 6. Dispatch RFC Syntax Check (`SYNTAX-CHECK`) -----------&gt;|</w:t>
              <w:br/>
              <w:t xml:space="preserve">   |                        |&lt;-- 7. RFC Validation Status (Success / Errors) ------------|</w:t>
              <w:br/>
              <w:t xml:space="preserve">   |                        |                      |                    |                  |</w:t>
              <w:br/>
              <w:t xml:space="preserve">   |&lt;-- 8. Render Verified -|                      |                    |                  |</w:t>
              <w:br/>
              <w:t xml:space="preserve">   |    ABAP Completion     |                      |                    |                  |</w:t>
              <w:br/>
            </w:r>
          </w:p>
        </w:tc>
      </w:tr>
    </w:tbl>
    <w:p>
      <w:pPr>
        <w:spacing w:after="120"/>
      </w:pPr>
    </w:p>
    <w:p>
      <w:pPr>
        <w:keepNext/>
        <w:spacing w:before="360" w:after="120"/>
      </w:pPr>
      <w:r>
        <w:rPr>
          <w:rFonts w:ascii="Calibri" w:hAnsi="Calibri"/>
          <w:b/>
          <w:color w:val="0050A0"/>
          <w:sz w:val="30"/>
        </w:rPr>
        <w:t>5. Key Functional Modules Specification</w:t>
      </w:r>
    </w:p>
    <w:p>
      <w:pPr>
        <w:spacing w:before="0" w:after="120" w:line="276" w:lineRule="auto"/>
      </w:pPr>
      <w:r>
        <w:rPr>
          <w:rFonts w:ascii="Calibri" w:hAnsi="Calibri"/>
          <w:color w:val="323232"/>
          <w:sz w:val="22"/>
        </w:rPr>
        <w:t>The assistant application is partitioned into four major decoupled modules:</w:t>
      </w:r>
    </w:p>
    <w:p>
      <w:pPr>
        <w:keepNext/>
        <w:spacing w:before="240" w:after="80"/>
      </w:pPr>
      <w:r>
        <w:rPr>
          <w:rFonts w:ascii="Calibri" w:hAnsi="Calibri"/>
          <w:b/>
          <w:color w:val="285A8C"/>
          <w:sz w:val="25"/>
        </w:rPr>
        <w:t>5.1 Module 1: IDE Client Plugin (Eclipse ADT &amp; VS Code Extension)</w:t>
      </w:r>
    </w:p>
    <w:p>
      <w:pPr>
        <w:pStyle w:val="ListBullet"/>
        <w:spacing w:before="0" w:after="60" w:line="276" w:lineRule="auto"/>
      </w:pPr>
      <w:r>
        <w:rPr>
          <w:rFonts w:ascii="Calibri" w:hAnsi="Calibri"/>
          <w:b/>
          <w:color w:val="1E1E1E"/>
          <w:sz w:val="22"/>
        </w:rPr>
        <w:t xml:space="preserve">Core Functionality: </w:t>
      </w:r>
      <w:r>
        <w:rPr>
          <w:rFonts w:ascii="Calibri" w:hAnsi="Calibri"/>
          <w:color w:val="3C3C3C"/>
          <w:sz w:val="22"/>
        </w:rPr>
        <w:t>Captures editor cursor position, active method text, surrounding class definition, and ATC markers. Displays ghost text for inline completions and renders an interactive side panel for AI chat and Clean ABAP linting.</w:t>
      </w:r>
    </w:p>
    <w:p>
      <w:pPr>
        <w:pStyle w:val="ListBullet"/>
        <w:spacing w:before="0" w:after="60" w:line="276" w:lineRule="auto"/>
      </w:pPr>
      <w:r>
        <w:rPr>
          <w:rFonts w:ascii="Calibri" w:hAnsi="Calibri"/>
          <w:b/>
          <w:color w:val="1E1E1E"/>
          <w:sz w:val="22"/>
        </w:rPr>
        <w:t xml:space="preserve">Tech Stack: </w:t>
      </w:r>
      <w:r>
        <w:rPr>
          <w:rFonts w:ascii="Calibri" w:hAnsi="Calibri"/>
          <w:color w:val="3C3C3C"/>
          <w:sz w:val="22"/>
        </w:rPr>
        <w:t>Java / Eclipse ADT API for Eclipse; TypeScript / VS Code Extension API for VS Code.</w:t>
      </w:r>
    </w:p>
    <w:p>
      <w:pPr>
        <w:keepNext/>
        <w:spacing w:before="240" w:after="80"/>
      </w:pPr>
      <w:r>
        <w:rPr>
          <w:rFonts w:ascii="Calibri" w:hAnsi="Calibri"/>
          <w:b/>
          <w:color w:val="285A8C"/>
          <w:sz w:val="25"/>
        </w:rPr>
        <w:t>5.2 Module 2: AI Middleware Gateway &amp; Prompt Sanitizer</w:t>
      </w:r>
    </w:p>
    <w:p>
      <w:pPr>
        <w:pStyle w:val="ListBullet"/>
        <w:spacing w:before="0" w:after="60" w:line="276" w:lineRule="auto"/>
      </w:pPr>
      <w:r>
        <w:rPr>
          <w:rFonts w:ascii="Calibri" w:hAnsi="Calibri"/>
          <w:b/>
          <w:color w:val="1E1E1E"/>
          <w:sz w:val="22"/>
        </w:rPr>
        <w:t xml:space="preserve">Core Functionality: </w:t>
      </w:r>
      <w:r>
        <w:rPr>
          <w:rFonts w:ascii="Calibri" w:hAnsi="Calibri"/>
          <w:color w:val="3C3C3C"/>
          <w:sz w:val="22"/>
        </w:rPr>
        <w:t>Serves as the central API orchestrator. Validates developer OAuth tokens via SAP IAS, strips PII data, constructs contextual system prompts with ABAP 7.5+ constraints, and meters token usage.</w:t>
      </w:r>
    </w:p>
    <w:p>
      <w:pPr>
        <w:pStyle w:val="ListBullet"/>
        <w:spacing w:before="0" w:after="60" w:line="276" w:lineRule="auto"/>
      </w:pPr>
      <w:r>
        <w:rPr>
          <w:rFonts w:ascii="Calibri" w:hAnsi="Calibri"/>
          <w:b/>
          <w:color w:val="1E1E1E"/>
          <w:sz w:val="22"/>
        </w:rPr>
        <w:t xml:space="preserve">Tech Stack: </w:t>
      </w:r>
      <w:r>
        <w:rPr>
          <w:rFonts w:ascii="Calibri" w:hAnsi="Calibri"/>
          <w:color w:val="3C3C3C"/>
          <w:sz w:val="22"/>
        </w:rPr>
        <w:t>FastAPI (Python 3.12) / Node.js deployed on SAP BTP Kyma / Kubernetes.</w:t>
      </w:r>
    </w:p>
    <w:p>
      <w:pPr>
        <w:keepNext/>
        <w:spacing w:before="240" w:after="80"/>
      </w:pPr>
      <w:r>
        <w:rPr>
          <w:rFonts w:ascii="Calibri" w:hAnsi="Calibri"/>
          <w:b/>
          <w:color w:val="285A8C"/>
          <w:sz w:val="25"/>
        </w:rPr>
        <w:t>5.3 Module 3: RAG Knowledge Base &amp; Context Extractor</w:t>
      </w:r>
    </w:p>
    <w:p>
      <w:pPr>
        <w:pStyle w:val="ListBullet"/>
        <w:spacing w:before="0" w:after="60" w:line="276" w:lineRule="auto"/>
      </w:pPr>
      <w:r>
        <w:rPr>
          <w:rFonts w:ascii="Calibri" w:hAnsi="Calibri"/>
          <w:b/>
          <w:color w:val="1E1E1E"/>
          <w:sz w:val="22"/>
        </w:rPr>
        <w:t xml:space="preserve">Core Functionality: </w:t>
      </w:r>
      <w:r>
        <w:rPr>
          <w:rFonts w:ascii="Calibri" w:hAnsi="Calibri"/>
          <w:color w:val="3C3C3C"/>
          <w:sz w:val="22"/>
        </w:rPr>
        <w:t>Indexes official SAP ABAP language documentation, BAPI parameters, standard CDS views, and corporate Clean ABAP style guides into dense vector embeddings for low-latency similarity retrieval.</w:t>
      </w:r>
    </w:p>
    <w:p>
      <w:pPr>
        <w:pStyle w:val="ListBullet"/>
        <w:spacing w:before="0" w:after="60" w:line="276" w:lineRule="auto"/>
      </w:pPr>
      <w:r>
        <w:rPr>
          <w:rFonts w:ascii="Calibri" w:hAnsi="Calibri"/>
          <w:b/>
          <w:color w:val="1E1E1E"/>
          <w:sz w:val="22"/>
        </w:rPr>
        <w:t xml:space="preserve">Tech Stack: </w:t>
      </w:r>
      <w:r>
        <w:rPr>
          <w:rFonts w:ascii="Calibri" w:hAnsi="Calibri"/>
          <w:color w:val="3C3C3C"/>
          <w:sz w:val="22"/>
        </w:rPr>
        <w:t>Qdrant Vector Database / FAISS with sentence-transformers embedding models.</w:t>
      </w:r>
    </w:p>
    <w:p>
      <w:pPr>
        <w:keepNext/>
        <w:spacing w:before="240" w:after="80"/>
      </w:pPr>
      <w:r>
        <w:rPr>
          <w:rFonts w:ascii="Calibri" w:hAnsi="Calibri"/>
          <w:b/>
          <w:color w:val="285A8C"/>
          <w:sz w:val="25"/>
        </w:rPr>
        <w:t>5.4 Module 4: SAP Backend RFC &amp; ATC Execution Service</w:t>
      </w:r>
    </w:p>
    <w:p>
      <w:pPr>
        <w:pStyle w:val="ListBullet"/>
        <w:spacing w:before="0" w:after="60" w:line="276" w:lineRule="auto"/>
      </w:pPr>
      <w:r>
        <w:rPr>
          <w:rFonts w:ascii="Calibri" w:hAnsi="Calibri"/>
          <w:b/>
          <w:color w:val="1E1E1E"/>
          <w:sz w:val="22"/>
        </w:rPr>
        <w:t xml:space="preserve">Core Functionality: </w:t>
      </w:r>
      <w:r>
        <w:rPr>
          <w:rFonts w:ascii="Calibri" w:hAnsi="Calibri"/>
          <w:color w:val="3C3C3C"/>
          <w:sz w:val="22"/>
        </w:rPr>
        <w:t>Executes background RFC syntax checks (`SYNTAX-CHECK STATEMENT`) and runs SAP ABAP Test Cockpit (ATC) inspection variants to validate code candidates before showing them to developers.</w:t>
      </w:r>
    </w:p>
    <w:p>
      <w:pPr>
        <w:pStyle w:val="ListBullet"/>
        <w:spacing w:before="0" w:after="60" w:line="276" w:lineRule="auto"/>
      </w:pPr>
      <w:r>
        <w:rPr>
          <w:rFonts w:ascii="Calibri" w:hAnsi="Calibri"/>
          <w:b/>
          <w:color w:val="1E1E1E"/>
          <w:sz w:val="22"/>
        </w:rPr>
        <w:t xml:space="preserve">Tech Stack: </w:t>
      </w:r>
      <w:r>
        <w:rPr>
          <w:rFonts w:ascii="Calibri" w:hAnsi="Calibri"/>
          <w:color w:val="3C3C3C"/>
          <w:sz w:val="22"/>
        </w:rPr>
        <w:t>ABAP RFC / OData v4 services connected via SAP BTP Connectivity Service &amp; Cloud Connector.</w:t>
      </w:r>
    </w:p>
    <w:p>
      <w:pPr>
        <w:keepNext/>
        <w:spacing w:before="360" w:after="120"/>
      </w:pPr>
      <w:r>
        <w:rPr>
          <w:rFonts w:ascii="Calibri" w:hAnsi="Calibri"/>
          <w:b/>
          <w:color w:val="0050A0"/>
          <w:sz w:val="30"/>
        </w:rPr>
        <w:t>6. User Interface Sketches &amp; Layout Wireframes</w:t>
      </w:r>
    </w:p>
    <w:p>
      <w:pPr>
        <w:spacing w:before="0" w:after="120" w:line="276" w:lineRule="auto"/>
      </w:pPr>
      <w:r>
        <w:rPr>
          <w:rFonts w:ascii="Calibri" w:hAnsi="Calibri"/>
          <w:color w:val="323232"/>
          <w:sz w:val="22"/>
        </w:rPr>
        <w:t>To illustrate developer experience, the layouts below show the Eclipse ADT and VS Code UI panels.</w:t>
      </w:r>
    </w:p>
    <w:p>
      <w:pPr>
        <w:keepNext/>
        <w:spacing w:before="240" w:after="80"/>
      </w:pPr>
      <w:r>
        <w:rPr>
          <w:rFonts w:ascii="Calibri" w:hAnsi="Calibri"/>
          <w:b/>
          <w:color w:val="285A8C"/>
          <w:sz w:val="25"/>
        </w:rPr>
        <w:t>6.1 Eclipse ADT IDE Integration Layout</w:t>
      </w:r>
    </w:p>
    <w:tbl>
      <w:tblPr>
        <w:tblW w:type="auto" w:w="0"/>
        <w:jc w:val="center"/>
        <w:tblLook w:firstColumn="1" w:firstRow="1" w:lastColumn="0" w:lastRow="0" w:noHBand="0" w:noVBand="1" w:val="04A0"/>
      </w:tblPr>
      <w:tblGrid>
        <w:gridCol w:w="9360"/>
      </w:tblGrid>
      <w:tr>
        <w:tc>
          <w:tcPr>
            <w:tcW w:type="dxa" w:w="9360"/>
            <w:shd w:fill="F7F9FC"/>
            <w:tcMar>
              <w:top w:w="140" w:type="dxa"/>
              <w:bottom w:w="140" w:type="dxa"/>
              <w:left w:w="150" w:type="dxa"/>
              <w:right w:w="150" w:type="dxa"/>
            </w:tcMar>
          </w:tcPr>
          <w:p>
            <w:pPr>
              <w:spacing w:before="40" w:after="40"/>
            </w:pPr>
            <w:r>
              <w:rPr>
                <w:rFonts w:ascii="Consolas" w:hAnsi="Consolas"/>
                <w:color w:val="003C78"/>
                <w:sz w:val="17"/>
              </w:rPr>
              <w:t>+---------------------------------------------------------------------------------------+</w:t>
              <w:br/>
              <w:t>| Eclipse ADT - ABAP Class Editor: ZCL_PURCHASE_ORDER_HANDLER.CPAC                      |</w:t>
              <w:br/>
              <w:t xml:space="preserve">+--------------------------------------------------+------------------------------------+ </w:t>
              <w:br/>
              <w:t xml:space="preserve">|  METHOD get_po_details.                          | [🤖 Virtual SAP ABAP Assistant]    | </w:t>
              <w:br/>
              <w:t xml:space="preserve">|    " Read Purchase Order Item Details            |                                    | </w:t>
              <w:br/>
              <w:t xml:space="preserve">|    SELECT po_number, item_number, material       |  Clean ABAP Score: 98% [PASS]     | </w:t>
              <w:br/>
              <w:t xml:space="preserve">|      FROM zpo_items                              |  ATC Warnings: 0 P1 / 0 P2         | </w:t>
              <w:br/>
              <w:t xml:space="preserve">|      INTO TABLE @DATA(lt_items)                  | ---------------------------------- | </w:t>
              <w:br/>
              <w:t xml:space="preserve">|      WHERE po_number = @iv_po_number.            |  [Action Buttons]                  | </w:t>
              <w:br/>
              <w:t xml:space="preserve">|                                                  |  [ ⚡ Fix with Clean ABAP ]        | </w:t>
              <w:br/>
              <w:t xml:space="preserve">|    [Suggested Completion - Press TAB to Accept]  |  [ 🧪 Generate ABAP Unit Test ]    | </w:t>
              <w:br/>
              <w:t xml:space="preserve">|    IF sy-subrc = 0.                              |  [ 📖 Generate ABAP Docstring ]    | </w:t>
              <w:br/>
              <w:t xml:space="preserve">|      rv_count = lines( lt_items ).               | ---------------------------------- | </w:t>
              <w:br/>
              <w:t xml:space="preserve">|    ENDIF.                                        |  Chat: "How do I convert this      | </w:t>
              <w:br/>
              <w:t xml:space="preserve">|  ENDMETHOD.                                      |  SELECT to a CDS View?"            | </w:t>
              <w:br/>
              <w:t xml:space="preserve">+--------------------------------------------------+------------------------------------+ </w:t>
              <w:br/>
            </w:r>
          </w:p>
        </w:tc>
      </w:tr>
    </w:tbl>
    <w:p>
      <w:pPr>
        <w:spacing w:after="120"/>
      </w:pPr>
    </w:p>
    <w:p>
      <w:pPr>
        <w:keepNext/>
        <w:spacing w:before="360" w:after="120"/>
      </w:pPr>
      <w:r>
        <w:rPr>
          <w:rFonts w:ascii="Calibri" w:hAnsi="Calibri"/>
          <w:b/>
          <w:color w:val="0050A0"/>
          <w:sz w:val="30"/>
        </w:rPr>
        <w:t>7. Input/Output Specifications &amp; Exception Handling</w:t>
      </w:r>
    </w:p>
    <w:p>
      <w:pPr>
        <w:spacing w:before="0" w:after="120" w:line="276" w:lineRule="auto"/>
      </w:pPr>
      <w:r>
        <w:rPr>
          <w:rFonts w:ascii="Calibri" w:hAnsi="Calibri"/>
          <w:color w:val="323232"/>
          <w:sz w:val="22"/>
        </w:rPr>
        <w:t>Robust error handling and strict I/O payload schemas guarantee system stability even during network disruptions or invalid ABAP syntax inputs.</w:t>
      </w:r>
    </w:p>
    <w:p>
      <w:pPr>
        <w:keepNext/>
        <w:spacing w:before="240" w:after="80"/>
      </w:pPr>
      <w:r>
        <w:rPr>
          <w:rFonts w:ascii="Calibri" w:hAnsi="Calibri"/>
          <w:b/>
          <w:color w:val="285A8C"/>
          <w:sz w:val="25"/>
        </w:rPr>
        <w:t>7.1 JSON API Payload Schema (IDE &lt;-&gt; Gateway)</w:t>
      </w:r>
    </w:p>
    <w:p>
      <w:pPr>
        <w:spacing w:before="0" w:after="120" w:line="276" w:lineRule="auto"/>
      </w:pPr>
      <w:r>
        <w:rPr>
          <w:rFonts w:ascii="Calibri" w:hAnsi="Calibri"/>
          <w:color w:val="323232"/>
          <w:sz w:val="22"/>
        </w:rPr>
        <w:t>Sample request payload dispatched from Eclipse ADT to the AI Middleware Gateway:</w:t>
      </w:r>
    </w:p>
    <w:tbl>
      <w:tblPr>
        <w:tblW w:type="auto" w:w="0"/>
        <w:jc w:val="center"/>
        <w:tblLook w:firstColumn="1" w:firstRow="1" w:lastColumn="0" w:lastRow="0" w:noHBand="0" w:noVBand="1" w:val="04A0"/>
      </w:tblPr>
      <w:tblGrid>
        <w:gridCol w:w="9360"/>
      </w:tblGrid>
      <w:tr>
        <w:tc>
          <w:tcPr>
            <w:tcW w:type="dxa" w:w="9360"/>
            <w:shd w:fill="F4F4F4"/>
            <w:tcMar>
              <w:top w:w="100" w:type="dxa"/>
              <w:bottom w:w="100" w:type="dxa"/>
              <w:left w:w="120" w:type="dxa"/>
              <w:right w:w="120" w:type="dxa"/>
            </w:tcMar>
          </w:tcPr>
          <w:p>
            <w:pPr>
              <w:spacing w:before="40" w:after="40"/>
            </w:pPr>
            <w:r>
              <w:rPr>
                <w:rFonts w:ascii="Consolas" w:hAnsi="Consolas"/>
                <w:color w:val="1E1E1E"/>
                <w:sz w:val="17"/>
              </w:rPr>
              <w:t>{</w:t>
              <w:br/>
              <w:t xml:space="preserve">  "session_id": "sess_8819203912",</w:t>
              <w:br/>
              <w:t xml:space="preserve">  "sap_release": "7.55",</w:t>
              <w:br/>
              <w:t xml:space="preserve">  "editor_context": {</w:t>
              <w:br/>
              <w:t xml:space="preserve">    "object_name": "ZCL_PURCHASE_ORDER_HANDLER",</w:t>
              <w:br/>
              <w:t xml:space="preserve">    "object_type": "CLAS",</w:t>
              <w:br/>
              <w:t xml:space="preserve">    "active_method": "GET_PO_DETAILS",</w:t>
              <w:br/>
              <w:t xml:space="preserve">    "cursor_line": 14,</w:t>
              <w:br/>
              <w:t xml:space="preserve">    "code_snippet": "SELECT po_number, item_number FROM zpo_items INTO TABLE @DATA(lt_items)..."</w:t>
              <w:br/>
              <w:t xml:space="preserve">  },</w:t>
              <w:br/>
              <w:t xml:space="preserve">  "request_type": "INLINE_COMPLETION",</w:t>
              <w:br/>
              <w:t xml:space="preserve">  "user_options": { "enforce_clean_abap": true, "run_atc_check": true }</w:t>
              <w:br/>
              <w:t>}</w:t>
            </w:r>
          </w:p>
        </w:tc>
      </w:tr>
    </w:tbl>
    <w:p>
      <w:pPr>
        <w:spacing w:after="120"/>
      </w:pPr>
    </w:p>
    <w:p>
      <w:pPr>
        <w:keepNext/>
        <w:spacing w:before="240" w:after="80"/>
      </w:pPr>
      <w:r>
        <w:rPr>
          <w:rFonts w:ascii="Calibri" w:hAnsi="Calibri"/>
          <w:b/>
          <w:color w:val="285A8C"/>
          <w:sz w:val="25"/>
        </w:rPr>
        <w:t>7.2 Exception Handling &amp; Resilience Matrix</w:t>
      </w:r>
    </w:p>
    <w:tbl>
      <w:tblPr>
        <w:tblW w:type="auto" w:w="0"/>
        <w:jc w:val="center"/>
        <w:tblLook w:firstColumn="1" w:firstRow="1" w:lastColumn="0" w:lastRow="0" w:noHBand="0" w:noVBand="1" w:val="04A0"/>
      </w:tblPr>
      <w:tblGrid>
        <w:gridCol w:w="2340"/>
        <w:gridCol w:w="2340"/>
        <w:gridCol w:w="2340"/>
        <w:gridCol w:w="2340"/>
      </w:tblGrid>
      <w:tr>
        <w:tc>
          <w:tcPr>
            <w:tcW w:type="dxa" w:w="2160"/>
            <w:shd w:fill="005A9C"/>
            <w:tcMar>
              <w:top w:w="120" w:type="dxa"/>
              <w:bottom w:w="120" w:type="dxa"/>
              <w:left w:w="120" w:type="dxa"/>
              <w:right w:w="120" w:type="dxa"/>
            </w:tcMar>
          </w:tcPr>
          <w:p>
            <w:pPr>
              <w:jc w:val="left"/>
            </w:pPr>
            <w:r>
              <w:rPr>
                <w:rFonts w:ascii="Calibri" w:hAnsi="Calibri"/>
                <w:b/>
                <w:color w:val="FFFFFF"/>
                <w:sz w:val="20"/>
              </w:rPr>
              <w:t>Failure Scenario</w:t>
            </w:r>
          </w:p>
        </w:tc>
        <w:tc>
          <w:tcPr>
            <w:tcW w:type="dxa" w:w="2160"/>
            <w:shd w:fill="005A9C"/>
            <w:tcMar>
              <w:top w:w="120" w:type="dxa"/>
              <w:bottom w:w="120" w:type="dxa"/>
              <w:left w:w="120" w:type="dxa"/>
              <w:right w:w="120" w:type="dxa"/>
            </w:tcMar>
          </w:tcPr>
          <w:p>
            <w:pPr>
              <w:jc w:val="left"/>
            </w:pPr>
            <w:r>
              <w:rPr>
                <w:rFonts w:ascii="Calibri" w:hAnsi="Calibri"/>
                <w:b/>
                <w:color w:val="FFFFFF"/>
                <w:sz w:val="20"/>
              </w:rPr>
              <w:t>Detection Mechanism</w:t>
            </w:r>
          </w:p>
        </w:tc>
        <w:tc>
          <w:tcPr>
            <w:tcW w:type="dxa" w:w="2880"/>
            <w:shd w:fill="005A9C"/>
            <w:tcMar>
              <w:top w:w="120" w:type="dxa"/>
              <w:bottom w:w="120" w:type="dxa"/>
              <w:left w:w="120" w:type="dxa"/>
              <w:right w:w="120" w:type="dxa"/>
            </w:tcMar>
          </w:tcPr>
          <w:p>
            <w:pPr>
              <w:jc w:val="left"/>
            </w:pPr>
            <w:r>
              <w:rPr>
                <w:rFonts w:ascii="Calibri" w:hAnsi="Calibri"/>
                <w:b/>
                <w:color w:val="FFFFFF"/>
                <w:sz w:val="20"/>
              </w:rPr>
              <w:t>System Recovery Action</w:t>
            </w:r>
          </w:p>
        </w:tc>
        <w:tc>
          <w:tcPr>
            <w:tcW w:type="dxa" w:w="2160"/>
            <w:shd w:fill="005A9C"/>
            <w:tcMar>
              <w:top w:w="120" w:type="dxa"/>
              <w:bottom w:w="120" w:type="dxa"/>
              <w:left w:w="120" w:type="dxa"/>
              <w:right w:w="120" w:type="dxa"/>
            </w:tcMar>
          </w:tcPr>
          <w:p>
            <w:pPr>
              <w:jc w:val="left"/>
            </w:pPr>
            <w:r>
              <w:rPr>
                <w:rFonts w:ascii="Calibri" w:hAnsi="Calibri"/>
                <w:b/>
                <w:color w:val="FFFFFF"/>
                <w:sz w:val="20"/>
              </w:rPr>
              <w:t>User Notification</w:t>
            </w:r>
          </w:p>
        </w:tc>
      </w:tr>
      <w:tr>
        <w:tc>
          <w:tcPr>
            <w:tcW w:type="dxa" w:w="2160"/>
            <w:shd w:fill="F9FAFC"/>
            <w:tcMar>
              <w:top w:w="80" w:type="dxa"/>
              <w:bottom w:w="80" w:type="dxa"/>
              <w:left w:w="80" w:type="dxa"/>
              <w:right w:w="80" w:type="dxa"/>
            </w:tcMar>
          </w:tcPr>
          <w:p>
            <w:pPr>
              <w:spacing w:after="40"/>
            </w:pPr>
            <w:r>
              <w:rPr>
                <w:b/>
                <w:color w:val="00468C"/>
                <w:sz w:val="18"/>
              </w:rPr>
              <w:t>SAP RFC Connection Timeout</w:t>
            </w:r>
          </w:p>
        </w:tc>
        <w:tc>
          <w:tcPr>
            <w:tcW w:type="dxa" w:w="2160"/>
            <w:shd w:fill="F9FAFC"/>
            <w:tcMar>
              <w:top w:w="80" w:type="dxa"/>
              <w:bottom w:w="80" w:type="dxa"/>
              <w:left w:w="80" w:type="dxa"/>
              <w:right w:w="80" w:type="dxa"/>
            </w:tcMar>
          </w:tcPr>
          <w:p>
            <w:pPr>
              <w:spacing w:after="40"/>
            </w:pPr>
            <w:r>
              <w:rPr>
                <w:color w:val="323232"/>
                <w:sz w:val="18"/>
              </w:rPr>
              <w:t>RFC gateway client times out (&gt; 2.0s)</w:t>
            </w:r>
          </w:p>
        </w:tc>
        <w:tc>
          <w:tcPr>
            <w:tcW w:type="dxa" w:w="2880"/>
            <w:shd w:fill="F9FAFC"/>
            <w:tcMar>
              <w:top w:w="80" w:type="dxa"/>
              <w:bottom w:w="80" w:type="dxa"/>
              <w:left w:w="80" w:type="dxa"/>
              <w:right w:w="80" w:type="dxa"/>
            </w:tcMar>
          </w:tcPr>
          <w:p>
            <w:pPr>
              <w:spacing w:after="40"/>
            </w:pPr>
            <w:r>
              <w:rPr>
                <w:color w:val="323232"/>
                <w:sz w:val="18"/>
              </w:rPr>
              <w:t>Fallback to local RAG offline ruleset without live RFC syntax check</w:t>
            </w:r>
          </w:p>
        </w:tc>
        <w:tc>
          <w:tcPr>
            <w:tcW w:type="dxa" w:w="2160"/>
            <w:shd w:fill="F9FAFC"/>
            <w:tcMar>
              <w:top w:w="80" w:type="dxa"/>
              <w:bottom w:w="80" w:type="dxa"/>
              <w:left w:w="80" w:type="dxa"/>
              <w:right w:w="80" w:type="dxa"/>
            </w:tcMar>
          </w:tcPr>
          <w:p>
            <w:pPr>
              <w:spacing w:after="40"/>
            </w:pPr>
            <w:r>
              <w:rPr>
                <w:color w:val="323232"/>
                <w:sz w:val="18"/>
              </w:rPr>
              <w:t>Warning badge: "Offline Mode (RFC Unavailable)"</w:t>
            </w:r>
          </w:p>
        </w:tc>
      </w:tr>
      <w:tr>
        <w:tc>
          <w:tcPr>
            <w:tcW w:type="dxa" w:w="2160"/>
            <w:shd w:fill="FFFFFF"/>
            <w:tcMar>
              <w:top w:w="80" w:type="dxa"/>
              <w:bottom w:w="80" w:type="dxa"/>
              <w:left w:w="80" w:type="dxa"/>
              <w:right w:w="80" w:type="dxa"/>
            </w:tcMar>
          </w:tcPr>
          <w:p>
            <w:pPr>
              <w:spacing w:after="40"/>
            </w:pPr>
            <w:r>
              <w:rPr>
                <w:b/>
                <w:color w:val="00468C"/>
                <w:sz w:val="18"/>
              </w:rPr>
              <w:t>LLM Rate Limit Exceeded</w:t>
            </w:r>
          </w:p>
        </w:tc>
        <w:tc>
          <w:tcPr>
            <w:tcW w:type="dxa" w:w="2160"/>
            <w:shd w:fill="FFFFFF"/>
            <w:tcMar>
              <w:top w:w="80" w:type="dxa"/>
              <w:bottom w:w="80" w:type="dxa"/>
              <w:left w:w="80" w:type="dxa"/>
              <w:right w:w="80" w:type="dxa"/>
            </w:tcMar>
          </w:tcPr>
          <w:p>
            <w:pPr>
              <w:spacing w:after="40"/>
            </w:pPr>
            <w:r>
              <w:rPr>
                <w:color w:val="323232"/>
                <w:sz w:val="18"/>
              </w:rPr>
              <w:t>HTTP 429 status from Azure OpenAI API</w:t>
            </w:r>
          </w:p>
        </w:tc>
        <w:tc>
          <w:tcPr>
            <w:tcW w:type="dxa" w:w="2880"/>
            <w:shd w:fill="FFFFFF"/>
            <w:tcMar>
              <w:top w:w="80" w:type="dxa"/>
              <w:bottom w:w="80" w:type="dxa"/>
              <w:left w:w="80" w:type="dxa"/>
              <w:right w:w="80" w:type="dxa"/>
            </w:tcMar>
          </w:tcPr>
          <w:p>
            <w:pPr>
              <w:spacing w:after="40"/>
            </w:pPr>
            <w:r>
              <w:rPr>
                <w:color w:val="323232"/>
                <w:sz w:val="18"/>
              </w:rPr>
              <w:t>Route prompt to secondary fine-tuned backup LLM instance on BTP AI Core</w:t>
            </w:r>
          </w:p>
        </w:tc>
        <w:tc>
          <w:tcPr>
            <w:tcW w:type="dxa" w:w="2160"/>
            <w:shd w:fill="FFFFFF"/>
            <w:tcMar>
              <w:top w:w="80" w:type="dxa"/>
              <w:bottom w:w="80" w:type="dxa"/>
              <w:left w:w="80" w:type="dxa"/>
              <w:right w:w="80" w:type="dxa"/>
            </w:tcMar>
          </w:tcPr>
          <w:p>
            <w:pPr>
              <w:spacing w:after="40"/>
            </w:pPr>
            <w:r>
              <w:rPr>
                <w:color w:val="323232"/>
                <w:sz w:val="18"/>
              </w:rPr>
              <w:t>Silent auto-retry with exponential backoff</w:t>
            </w:r>
          </w:p>
        </w:tc>
      </w:tr>
      <w:tr>
        <w:tc>
          <w:tcPr>
            <w:tcW w:type="dxa" w:w="2160"/>
            <w:shd w:fill="F9FAFC"/>
            <w:tcMar>
              <w:top w:w="80" w:type="dxa"/>
              <w:bottom w:w="80" w:type="dxa"/>
              <w:left w:w="80" w:type="dxa"/>
              <w:right w:w="80" w:type="dxa"/>
            </w:tcMar>
          </w:tcPr>
          <w:p>
            <w:pPr>
              <w:spacing w:after="40"/>
            </w:pPr>
            <w:r>
              <w:rPr>
                <w:b/>
                <w:color w:val="00468C"/>
                <w:sz w:val="18"/>
              </w:rPr>
              <w:t>Syntax Verification Error</w:t>
            </w:r>
          </w:p>
        </w:tc>
        <w:tc>
          <w:tcPr>
            <w:tcW w:type="dxa" w:w="2160"/>
            <w:shd w:fill="F9FAFC"/>
            <w:tcMar>
              <w:top w:w="80" w:type="dxa"/>
              <w:bottom w:w="80" w:type="dxa"/>
              <w:left w:w="80" w:type="dxa"/>
              <w:right w:w="80" w:type="dxa"/>
            </w:tcMar>
          </w:tcPr>
          <w:p>
            <w:pPr>
              <w:spacing w:after="40"/>
            </w:pPr>
            <w:r>
              <w:rPr>
                <w:color w:val="323232"/>
                <w:sz w:val="18"/>
              </w:rPr>
              <w:t>RFC `SYNTAX-CHECK` returns priority 1 syntax error</w:t>
            </w:r>
          </w:p>
        </w:tc>
        <w:tc>
          <w:tcPr>
            <w:tcW w:type="dxa" w:w="2880"/>
            <w:shd w:fill="F9FAFC"/>
            <w:tcMar>
              <w:top w:w="80" w:type="dxa"/>
              <w:bottom w:w="80" w:type="dxa"/>
              <w:left w:w="80" w:type="dxa"/>
              <w:right w:w="80" w:type="dxa"/>
            </w:tcMar>
          </w:tcPr>
          <w:p>
            <w:pPr>
              <w:spacing w:after="40"/>
            </w:pPr>
            <w:r>
              <w:rPr>
                <w:color w:val="323232"/>
                <w:sz w:val="18"/>
              </w:rPr>
              <w:t>Filter out invalid completion candidate; request LLM self-correction prompt</w:t>
            </w:r>
          </w:p>
        </w:tc>
        <w:tc>
          <w:tcPr>
            <w:tcW w:type="dxa" w:w="2160"/>
            <w:shd w:fill="F9FAFC"/>
            <w:tcMar>
              <w:top w:w="80" w:type="dxa"/>
              <w:bottom w:w="80" w:type="dxa"/>
              <w:left w:w="80" w:type="dxa"/>
              <w:right w:w="80" w:type="dxa"/>
            </w:tcMar>
          </w:tcPr>
          <w:p>
            <w:pPr>
              <w:spacing w:after="40"/>
            </w:pPr>
            <w:r>
              <w:rPr>
                <w:color w:val="323232"/>
                <w:sz w:val="18"/>
              </w:rPr>
              <w:t>Displays corrected candidate with green checkmark</w:t>
            </w:r>
          </w:p>
        </w:tc>
      </w:tr>
      <w:tr>
        <w:tc>
          <w:tcPr>
            <w:tcW w:type="dxa" w:w="2160"/>
            <w:shd w:fill="FFFFFF"/>
            <w:tcMar>
              <w:top w:w="80" w:type="dxa"/>
              <w:bottom w:w="80" w:type="dxa"/>
              <w:left w:w="80" w:type="dxa"/>
              <w:right w:w="80" w:type="dxa"/>
            </w:tcMar>
          </w:tcPr>
          <w:p>
            <w:pPr>
              <w:spacing w:after="40"/>
            </w:pPr>
            <w:r>
              <w:rPr>
                <w:b/>
                <w:color w:val="00468C"/>
                <w:sz w:val="18"/>
              </w:rPr>
              <w:t>Unauthorized Object Access</w:t>
            </w:r>
          </w:p>
        </w:tc>
        <w:tc>
          <w:tcPr>
            <w:tcW w:type="dxa" w:w="2160"/>
            <w:shd w:fill="FFFFFF"/>
            <w:tcMar>
              <w:top w:w="80" w:type="dxa"/>
              <w:bottom w:w="80" w:type="dxa"/>
              <w:left w:w="80" w:type="dxa"/>
              <w:right w:w="80" w:type="dxa"/>
            </w:tcMar>
          </w:tcPr>
          <w:p>
            <w:pPr>
              <w:spacing w:after="40"/>
            </w:pPr>
            <w:r>
              <w:rPr>
                <w:color w:val="323232"/>
                <w:sz w:val="18"/>
              </w:rPr>
              <w:t>SAP IAS returns HTTP 403 Forbidden for target package</w:t>
            </w:r>
          </w:p>
        </w:tc>
        <w:tc>
          <w:tcPr>
            <w:tcW w:type="dxa" w:w="2880"/>
            <w:shd w:fill="FFFFFF"/>
            <w:tcMar>
              <w:top w:w="80" w:type="dxa"/>
              <w:bottom w:w="80" w:type="dxa"/>
              <w:left w:w="80" w:type="dxa"/>
              <w:right w:w="80" w:type="dxa"/>
            </w:tcMar>
          </w:tcPr>
          <w:p>
            <w:pPr>
              <w:spacing w:after="40"/>
            </w:pPr>
            <w:r>
              <w:rPr>
                <w:color w:val="323232"/>
                <w:sz w:val="18"/>
              </w:rPr>
              <w:t>Block code context extraction for protected SAP package namespace</w:t>
            </w:r>
          </w:p>
        </w:tc>
        <w:tc>
          <w:tcPr>
            <w:tcW w:type="dxa" w:w="2160"/>
            <w:shd w:fill="FFFFFF"/>
            <w:tcMar>
              <w:top w:w="80" w:type="dxa"/>
              <w:bottom w:w="80" w:type="dxa"/>
              <w:left w:w="80" w:type="dxa"/>
              <w:right w:w="80" w:type="dxa"/>
            </w:tcMar>
          </w:tcPr>
          <w:p>
            <w:pPr>
              <w:spacing w:after="40"/>
            </w:pPr>
            <w:r>
              <w:rPr>
                <w:color w:val="323232"/>
                <w:sz w:val="18"/>
              </w:rPr>
              <w:t>Error toast: "Insufficient SAP package authorization"</w:t>
            </w:r>
          </w:p>
        </w:tc>
      </w:tr>
    </w:tbl>
    <w:p>
      <w:pPr>
        <w:spacing w:after="16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2323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