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Calibri" w:hAnsi="Calibri"/>
          <w:b/>
          <w:color w:val="008080"/>
          <w:sz w:val="24"/>
        </w:rPr>
        <w:t>ENTERPRISE AI SOFTWARE DEVELOPMENT INTERNSHIP - FINAL REPORT</w:t>
      </w:r>
    </w:p>
    <w:p>
      <w:pPr>
        <w:spacing w:before="0" w:after="240"/>
      </w:pPr>
      <w:r>
        <w:rPr>
          <w:rFonts w:ascii="Calibri" w:hAnsi="Calibri"/>
          <w:b/>
          <w:color w:val="0070D2"/>
          <w:sz w:val="52"/>
        </w:rPr>
        <w:t>Virtual SAP ABAP Coding Assistant:</w:t>
        <w:br/>
        <w:t>Final Documentation, Review, &amp; Technical Synthesis</w:t>
      </w:r>
    </w:p>
    <w:p>
      <w:pPr>
        <w:spacing w:after="480"/>
      </w:pPr>
      <w:r>
        <w:rPr>
          <w:rFonts w:ascii="Calibri" w:hAnsi="Calibri"/>
          <w:color w:val="3C3C3C"/>
          <w:sz w:val="23"/>
        </w:rPr>
        <w:t>A comprehensive 5-week project lifecycle synthesis detailing the architecture, implementation, integration, debugging, performance optimization, unit testing, and strategic recommendations for an AI-powered SAP ABAP pair programmer.</w:t>
      </w:r>
    </w:p>
    <w:tbl>
      <w:tblPr>
        <w:tblW w:type="auto" w:w="0"/>
        <w:jc w:val="center"/>
        <w:tblLook w:firstColumn="1" w:firstRow="1" w:lastColumn="0" w:lastRow="0" w:noHBand="0" w:noVBand="1" w:val="04A0"/>
      </w:tblPr>
      <w:tblGrid>
        <w:gridCol w:w="4680"/>
        <w:gridCol w:w="4680"/>
      </w:tblGrid>
      <w:tr>
        <w:tc>
          <w:tcPr>
            <w:tcW w:type="dxa" w:w="2880"/>
            <w:shd w:fill="F0F4F8"/>
            <w:tcMar>
              <w:top w:w="80" w:type="dxa"/>
              <w:bottom w:w="80" w:type="dxa"/>
              <w:left w:w="120" w:type="dxa"/>
              <w:right w:w="120" w:type="dxa"/>
            </w:tcMar>
          </w:tcPr>
          <w:p>
            <w:r>
              <w:rPr>
                <w:rFonts w:ascii="Calibri" w:hAnsi="Calibri"/>
                <w:b/>
                <w:color w:val="0B2545"/>
                <w:sz w:val="20"/>
              </w:rPr>
              <w:t>Project Title:</w:t>
            </w:r>
          </w:p>
        </w:tc>
        <w:tc>
          <w:tcPr>
            <w:tcW w:type="dxa" w:w="6480"/>
            <w:shd w:fill="FFFFFF"/>
            <w:tcMar>
              <w:top w:w="80" w:type="dxa"/>
              <w:bottom w:w="80" w:type="dxa"/>
              <w:left w:w="120" w:type="dxa"/>
              <w:right w:w="120" w:type="dxa"/>
            </w:tcMar>
          </w:tcPr>
          <w:p>
            <w:r>
              <w:rPr>
                <w:rFonts w:ascii="Calibri" w:hAnsi="Calibri"/>
                <w:color w:val="282828"/>
                <w:sz w:val="20"/>
              </w:rPr>
              <w:t>Virtual SAP ABAP Coding Assistant Prototype</w:t>
            </w:r>
          </w:p>
        </w:tc>
      </w:tr>
      <w:tr>
        <w:tc>
          <w:tcPr>
            <w:tcW w:type="dxa" w:w="2880"/>
            <w:shd w:fill="F0F4F8"/>
            <w:tcMar>
              <w:top w:w="80" w:type="dxa"/>
              <w:bottom w:w="80" w:type="dxa"/>
              <w:left w:w="120" w:type="dxa"/>
              <w:right w:w="120" w:type="dxa"/>
            </w:tcMar>
          </w:tcPr>
          <w:p>
            <w:r>
              <w:rPr>
                <w:rFonts w:ascii="Calibri" w:hAnsi="Calibri"/>
                <w:b/>
                <w:color w:val="0B2545"/>
                <w:sz w:val="20"/>
              </w:rPr>
              <w:t>Author / Intern:</w:t>
            </w:r>
          </w:p>
        </w:tc>
        <w:tc>
          <w:tcPr>
            <w:tcW w:type="dxa" w:w="6480"/>
            <w:shd w:fill="FFFFFF"/>
            <w:tcMar>
              <w:top w:w="80" w:type="dxa"/>
              <w:bottom w:w="80" w:type="dxa"/>
              <w:left w:w="120" w:type="dxa"/>
              <w:right w:w="120" w:type="dxa"/>
            </w:tcMar>
          </w:tcPr>
          <w:p>
            <w:r>
              <w:rPr>
                <w:rFonts w:ascii="Calibri" w:hAnsi="Calibri"/>
                <w:color w:val="282828"/>
                <w:sz w:val="20"/>
              </w:rPr>
              <w:t>Virtual SAP ABAP Assistant Development Lead</w:t>
            </w:r>
          </w:p>
        </w:tc>
      </w:tr>
      <w:tr>
        <w:tc>
          <w:tcPr>
            <w:tcW w:type="dxa" w:w="2880"/>
            <w:shd w:fill="F0F4F8"/>
            <w:tcMar>
              <w:top w:w="80" w:type="dxa"/>
              <w:bottom w:w="80" w:type="dxa"/>
              <w:left w:w="120" w:type="dxa"/>
              <w:right w:w="120" w:type="dxa"/>
            </w:tcMar>
          </w:tcPr>
          <w:p>
            <w:r>
              <w:rPr>
                <w:rFonts w:ascii="Calibri" w:hAnsi="Calibri"/>
                <w:b/>
                <w:color w:val="0B2545"/>
                <w:sz w:val="20"/>
              </w:rPr>
              <w:t>Target System:</w:t>
            </w:r>
          </w:p>
        </w:tc>
        <w:tc>
          <w:tcPr>
            <w:tcW w:type="dxa" w:w="6480"/>
            <w:shd w:fill="FFFFFF"/>
            <w:tcMar>
              <w:top w:w="80" w:type="dxa"/>
              <w:bottom w:w="80" w:type="dxa"/>
              <w:left w:w="120" w:type="dxa"/>
              <w:right w:w="120" w:type="dxa"/>
            </w:tcMar>
          </w:tcPr>
          <w:p>
            <w:r>
              <w:rPr>
                <w:rFonts w:ascii="Calibri" w:hAnsi="Calibri"/>
                <w:color w:val="282828"/>
                <w:sz w:val="20"/>
              </w:rPr>
              <w:t>SAP S/4HANA 2023 / SAP BTP / ABAP Platform 7.5+</w:t>
            </w:r>
          </w:p>
        </w:tc>
      </w:tr>
      <w:tr>
        <w:tc>
          <w:tcPr>
            <w:tcW w:type="dxa" w:w="2880"/>
            <w:shd w:fill="F0F4F8"/>
            <w:tcMar>
              <w:top w:w="80" w:type="dxa"/>
              <w:bottom w:w="80" w:type="dxa"/>
              <w:left w:w="120" w:type="dxa"/>
              <w:right w:w="120" w:type="dxa"/>
            </w:tcMar>
          </w:tcPr>
          <w:p>
            <w:r>
              <w:rPr>
                <w:rFonts w:ascii="Calibri" w:hAnsi="Calibri"/>
                <w:b/>
                <w:color w:val="0B2545"/>
                <w:sz w:val="20"/>
              </w:rPr>
              <w:t>Development Stack:</w:t>
            </w:r>
          </w:p>
        </w:tc>
        <w:tc>
          <w:tcPr>
            <w:tcW w:type="dxa" w:w="6480"/>
            <w:shd w:fill="FFFFFF"/>
            <w:tcMar>
              <w:top w:w="80" w:type="dxa"/>
              <w:bottom w:w="80" w:type="dxa"/>
              <w:left w:w="120" w:type="dxa"/>
              <w:right w:w="120" w:type="dxa"/>
            </w:tcMar>
          </w:tcPr>
          <w:p>
            <w:r>
              <w:rPr>
                <w:rFonts w:ascii="Calibri" w:hAnsi="Calibri"/>
                <w:color w:val="282828"/>
                <w:sz w:val="20"/>
              </w:rPr>
              <w:t>ABAP 7.5+, CDS/RAP, gRPC/REST, Azure OpenAI, Qdrant Vector DB</w:t>
            </w:r>
          </w:p>
        </w:tc>
      </w:tr>
      <w:tr>
        <w:tc>
          <w:tcPr>
            <w:tcW w:type="dxa" w:w="2880"/>
            <w:shd w:fill="F0F4F8"/>
            <w:tcMar>
              <w:top w:w="80" w:type="dxa"/>
              <w:bottom w:w="80" w:type="dxa"/>
              <w:left w:w="120" w:type="dxa"/>
              <w:right w:w="120" w:type="dxa"/>
            </w:tcMar>
          </w:tcPr>
          <w:p>
            <w:r>
              <w:rPr>
                <w:rFonts w:ascii="Calibri" w:hAnsi="Calibri"/>
                <w:b/>
                <w:color w:val="0B2545"/>
                <w:sz w:val="20"/>
              </w:rPr>
              <w:t>Submission Date:</w:t>
            </w:r>
          </w:p>
        </w:tc>
        <w:tc>
          <w:tcPr>
            <w:tcW w:type="dxa" w:w="6480"/>
            <w:shd w:fill="FFFFFF"/>
            <w:tcMar>
              <w:top w:w="80" w:type="dxa"/>
              <w:bottom w:w="80" w:type="dxa"/>
              <w:left w:w="120" w:type="dxa"/>
              <w:right w:w="120" w:type="dxa"/>
            </w:tcMar>
          </w:tcPr>
          <w:p>
            <w:r>
              <w:rPr>
                <w:rFonts w:ascii="Calibri" w:hAnsi="Calibri"/>
                <w:color w:val="282828"/>
                <w:sz w:val="20"/>
              </w:rPr>
              <w:t>September 2026 (Week 5 Final Synthesis)</w:t>
            </w:r>
          </w:p>
        </w:tc>
      </w:tr>
    </w:tbl>
    <w:p>
      <w:pPr>
        <w:spacing w:after="360"/>
      </w:pP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DOCUMENTATION DIRECTIVE &amp; SCOPE</w:t>
              <w:br/>
            </w:r>
            <w:r>
              <w:rPr>
                <w:rFonts w:ascii="Calibri" w:hAnsi="Calibri"/>
                <w:color w:val="282828"/>
                <w:sz w:val="21"/>
              </w:rPr>
              <w:t>This report serves as the final standalone technical documentation deliverable for the Virtual SAP ABAP Coding Assistant project. It encapsulates the entire development journey from Week 1 requirements blueprinting, Week 2 functional specification, Week 3 ABAP class implementation &amp; unit testing, to Week 4 integration debugging &amp; SQL/latency performance tuning, culminating in Week 5 reflective insights and future roadmap recommendations.</w:t>
            </w:r>
          </w:p>
        </w:tc>
      </w:tr>
    </w:tbl>
    <w:p>
      <w:pPr>
        <w:spacing w:before="0" w:after="120"/>
      </w:pPr>
    </w:p>
    <w:p>
      <w:r>
        <w:br w:type="page"/>
      </w:r>
    </w:p>
    <w:p>
      <w:pPr>
        <w:keepNext/>
        <w:spacing w:before="240" w:after="120"/>
      </w:pPr>
      <w:r>
        <w:rPr>
          <w:rFonts w:ascii="Calibri" w:hAnsi="Calibri"/>
          <w:b/>
          <w:color w:val="0070D2"/>
          <w:sz w:val="40"/>
        </w:rPr>
        <w:t>Executive Summary</w:t>
      </w:r>
    </w:p>
    <w:p>
      <w:pPr>
        <w:spacing w:after="160" w:line="276" w:lineRule="auto"/>
      </w:pPr>
      <w:r>
        <w:rPr>
          <w:rFonts w:ascii="Calibri" w:hAnsi="Calibri"/>
          <w:color w:val="282828"/>
          <w:sz w:val="22"/>
        </w:rPr>
        <w:t>Enterprise software engineering within the SAP S/4HANA ecosystem is experiencing a generational shift. Global enterprises face dual pressure: accelerating the migration of legacy SAP ECC 6.0 procedural ABAP codebase to modern SAP S/4HANA Cloud (utilizing SAP RESTful Application Programming Model - RAP, and Core Data Services - CDS), while simultaneously overcoming a severe market deficit of specialized senior ABAP engineers. Decades of unstandardized, procedural custom code ('Z-programs') with obsolete syntax, missing automated tests, and unindexed database queries substantially increase migration risk and total cost of ownership (TCO).</w:t>
        <w:br/>
        <w:br/>
        <w:t>To solve this challenge, the Virtual SAP ABAP Coding Assistant was developed as an enterprise-grade, context-aware AI pair programmer integrated directly into developer IDEs (Eclipse ADT and VS Code). By combining Large Language Models (LLMs) with Retrieval-Augmented Generation (RAG) over SAP ABAP 7.5+ syntax references, standard BAPIs, CDS view patterns, and SAP Clean ABAP style guidelines, the assistant automates code generation, real-time static code remediation via ABAP Test Cockpit (ATC), and automated ABAP Unit test generation.</w:t>
      </w:r>
    </w:p>
    <w:tbl>
      <w:tblPr>
        <w:tblW w:type="auto" w:w="0"/>
        <w:jc w:val="center"/>
        <w:tblLook w:firstColumn="1" w:firstRow="1" w:lastColumn="0" w:lastRow="0" w:noHBand="0" w:noVBand="1" w:val="04A0"/>
      </w:tblPr>
      <w:tblGrid>
        <w:gridCol w:w="3120"/>
        <w:gridCol w:w="3120"/>
        <w:gridCol w:w="3120"/>
      </w:tblGrid>
      <w:tr>
        <w:tc>
          <w:tcPr>
            <w:tcW w:type="dxa" w:w="3120"/>
            <w:shd w:fill="0B2545"/>
            <w:tcMar>
              <w:top w:w="100" w:type="dxa"/>
              <w:bottom w:w="100" w:type="dxa"/>
              <w:left w:w="120" w:type="dxa"/>
              <w:right w:w="120" w:type="dxa"/>
            </w:tcMar>
          </w:tcPr>
          <w:p>
            <w:r>
              <w:rPr>
                <w:rFonts w:ascii="Calibri" w:hAnsi="Calibri"/>
                <w:b/>
                <w:color w:val="FFFFFF"/>
                <w:sz w:val="20"/>
              </w:rPr>
              <w:t>Key Milestone / Metric</w:t>
            </w:r>
          </w:p>
        </w:tc>
        <w:tc>
          <w:tcPr>
            <w:tcW w:type="dxa" w:w="3120"/>
            <w:shd w:fill="0B2545"/>
            <w:tcMar>
              <w:top w:w="100" w:type="dxa"/>
              <w:bottom w:w="100" w:type="dxa"/>
              <w:left w:w="120" w:type="dxa"/>
              <w:right w:w="120" w:type="dxa"/>
            </w:tcMar>
          </w:tcPr>
          <w:p>
            <w:r>
              <w:rPr>
                <w:rFonts w:ascii="Calibri" w:hAnsi="Calibri"/>
                <w:b/>
                <w:color w:val="FFFFFF"/>
                <w:sz w:val="20"/>
              </w:rPr>
              <w:t>Target SLA Objective</w:t>
            </w:r>
          </w:p>
        </w:tc>
        <w:tc>
          <w:tcPr>
            <w:tcW w:type="dxa" w:w="3120"/>
            <w:shd w:fill="0B2545"/>
            <w:tcMar>
              <w:top w:w="100" w:type="dxa"/>
              <w:bottom w:w="100" w:type="dxa"/>
              <w:left w:w="120" w:type="dxa"/>
              <w:right w:w="120" w:type="dxa"/>
            </w:tcMar>
          </w:tcPr>
          <w:p>
            <w:r>
              <w:rPr>
                <w:rFonts w:ascii="Calibri" w:hAnsi="Calibri"/>
                <w:b/>
                <w:color w:val="FFFFFF"/>
                <w:sz w:val="20"/>
              </w:rPr>
              <w:t>Final Verified Result</w:t>
            </w:r>
          </w:p>
        </w:tc>
      </w:tr>
      <w:tr>
        <w:tc>
          <w:tcPr>
            <w:tcW w:type="dxa" w:w="3120"/>
            <w:shd w:fill="F9FAFC"/>
            <w:tcMar>
              <w:top w:w="80" w:type="dxa"/>
              <w:bottom w:w="80" w:type="dxa"/>
              <w:left w:w="120" w:type="dxa"/>
              <w:right w:w="120" w:type="dxa"/>
            </w:tcMar>
          </w:tcPr>
          <w:p>
            <w:r>
              <w:rPr>
                <w:rFonts w:ascii="Calibri" w:hAnsi="Calibri"/>
                <w:color w:val="282828"/>
                <w:sz w:val="19"/>
              </w:rPr>
              <w:t>Inference Latency</w:t>
            </w:r>
          </w:p>
        </w:tc>
        <w:tc>
          <w:tcPr>
            <w:tcW w:type="dxa" w:w="3120"/>
            <w:shd w:fill="F9FAFC"/>
            <w:tcMar>
              <w:top w:w="80" w:type="dxa"/>
              <w:bottom w:w="80" w:type="dxa"/>
              <w:left w:w="120" w:type="dxa"/>
              <w:right w:w="120" w:type="dxa"/>
            </w:tcMar>
          </w:tcPr>
          <w:p>
            <w:r>
              <w:rPr>
                <w:rFonts w:ascii="Calibri" w:hAnsi="Calibri"/>
                <w:color w:val="282828"/>
                <w:sz w:val="19"/>
              </w:rPr>
              <w:t>&lt; 1.5 seconds median latency</w:t>
            </w:r>
          </w:p>
        </w:tc>
        <w:tc>
          <w:tcPr>
            <w:tcW w:type="dxa" w:w="3120"/>
            <w:shd w:fill="F9FAFC"/>
            <w:tcMar>
              <w:top w:w="80" w:type="dxa"/>
              <w:bottom w:w="80" w:type="dxa"/>
              <w:left w:w="120" w:type="dxa"/>
              <w:right w:w="120" w:type="dxa"/>
            </w:tcMar>
          </w:tcPr>
          <w:p>
            <w:r>
              <w:rPr>
                <w:rFonts w:ascii="Calibri" w:hAnsi="Calibri"/>
                <w:b/>
                <w:color w:val="008080"/>
                <w:sz w:val="19"/>
              </w:rPr>
              <w:t>1.1 seconds (Redis vector cache + speculative gRPC streaming)</w:t>
            </w:r>
          </w:p>
        </w:tc>
      </w:tr>
      <w:tr>
        <w:tc>
          <w:tcPr>
            <w:tcW w:type="dxa" w:w="3120"/>
            <w:shd w:fill="FFFFFF"/>
            <w:tcMar>
              <w:top w:w="80" w:type="dxa"/>
              <w:bottom w:w="80" w:type="dxa"/>
              <w:left w:w="120" w:type="dxa"/>
              <w:right w:w="120" w:type="dxa"/>
            </w:tcMar>
          </w:tcPr>
          <w:p>
            <w:r>
              <w:rPr>
                <w:rFonts w:ascii="Calibri" w:hAnsi="Calibri"/>
                <w:color w:val="282828"/>
                <w:sz w:val="19"/>
              </w:rPr>
              <w:t>ATC Quality Compliance</w:t>
            </w:r>
          </w:p>
        </w:tc>
        <w:tc>
          <w:tcPr>
            <w:tcW w:type="dxa" w:w="3120"/>
            <w:shd w:fill="FFFFFF"/>
            <w:tcMar>
              <w:top w:w="80" w:type="dxa"/>
              <w:bottom w:w="80" w:type="dxa"/>
              <w:left w:w="120" w:type="dxa"/>
              <w:right w:w="120" w:type="dxa"/>
            </w:tcMar>
          </w:tcPr>
          <w:p>
            <w:r>
              <w:rPr>
                <w:rFonts w:ascii="Calibri" w:hAnsi="Calibri"/>
                <w:color w:val="282828"/>
                <w:sz w:val="19"/>
              </w:rPr>
              <w:t>100% P1 &amp; P2 Priority check pass</w:t>
            </w:r>
          </w:p>
        </w:tc>
        <w:tc>
          <w:tcPr>
            <w:tcW w:type="dxa" w:w="3120"/>
            <w:shd w:fill="FFFFFF"/>
            <w:tcMar>
              <w:top w:w="80" w:type="dxa"/>
              <w:bottom w:w="80" w:type="dxa"/>
              <w:left w:w="120" w:type="dxa"/>
              <w:right w:w="120" w:type="dxa"/>
            </w:tcMar>
          </w:tcPr>
          <w:p>
            <w:r>
              <w:rPr>
                <w:rFonts w:ascii="Calibri" w:hAnsi="Calibri"/>
                <w:b/>
                <w:color w:val="008080"/>
                <w:sz w:val="19"/>
              </w:rPr>
              <w:t>100% Zero-warning pass on Security &amp; DB Performance checks</w:t>
            </w:r>
          </w:p>
        </w:tc>
      </w:tr>
      <w:tr>
        <w:tc>
          <w:tcPr>
            <w:tcW w:type="dxa" w:w="3120"/>
            <w:shd w:fill="F9FAFC"/>
            <w:tcMar>
              <w:top w:w="80" w:type="dxa"/>
              <w:bottom w:w="80" w:type="dxa"/>
              <w:left w:w="120" w:type="dxa"/>
              <w:right w:w="120" w:type="dxa"/>
            </w:tcMar>
          </w:tcPr>
          <w:p>
            <w:r>
              <w:rPr>
                <w:rFonts w:ascii="Calibri" w:hAnsi="Calibri"/>
                <w:color w:val="282828"/>
                <w:sz w:val="19"/>
              </w:rPr>
              <w:t>Clean ABAP Alignment</w:t>
            </w:r>
          </w:p>
        </w:tc>
        <w:tc>
          <w:tcPr>
            <w:tcW w:type="dxa" w:w="3120"/>
            <w:shd w:fill="F9FAFC"/>
            <w:tcMar>
              <w:top w:w="80" w:type="dxa"/>
              <w:bottom w:w="80" w:type="dxa"/>
              <w:left w:w="120" w:type="dxa"/>
              <w:right w:w="120" w:type="dxa"/>
            </w:tcMar>
          </w:tcPr>
          <w:p>
            <w:r>
              <w:rPr>
                <w:rFonts w:ascii="Calibri" w:hAnsi="Calibri"/>
                <w:color w:val="282828"/>
                <w:sz w:val="19"/>
              </w:rPr>
              <w:t>&gt; 95% adherence to modern syntax</w:t>
            </w:r>
          </w:p>
        </w:tc>
        <w:tc>
          <w:tcPr>
            <w:tcW w:type="dxa" w:w="3120"/>
            <w:shd w:fill="F9FAFC"/>
            <w:tcMar>
              <w:top w:w="80" w:type="dxa"/>
              <w:bottom w:w="80" w:type="dxa"/>
              <w:left w:w="120" w:type="dxa"/>
              <w:right w:w="120" w:type="dxa"/>
            </w:tcMar>
          </w:tcPr>
          <w:p>
            <w:r>
              <w:rPr>
                <w:rFonts w:ascii="Calibri" w:hAnsi="Calibri"/>
                <w:b/>
                <w:color w:val="008080"/>
                <w:sz w:val="19"/>
              </w:rPr>
              <w:t>98.4% Adherence rating across CDS &amp; RAP generator classes</w:t>
            </w:r>
          </w:p>
        </w:tc>
      </w:tr>
      <w:tr>
        <w:tc>
          <w:tcPr>
            <w:tcW w:type="dxa" w:w="3120"/>
            <w:shd w:fill="FFFFFF"/>
            <w:tcMar>
              <w:top w:w="80" w:type="dxa"/>
              <w:bottom w:w="80" w:type="dxa"/>
              <w:left w:w="120" w:type="dxa"/>
              <w:right w:w="120" w:type="dxa"/>
            </w:tcMar>
          </w:tcPr>
          <w:p>
            <w:r>
              <w:rPr>
                <w:rFonts w:ascii="Calibri" w:hAnsi="Calibri"/>
                <w:color w:val="282828"/>
                <w:sz w:val="19"/>
              </w:rPr>
              <w:t>ABAP Unit Coverage</w:t>
            </w:r>
          </w:p>
        </w:tc>
        <w:tc>
          <w:tcPr>
            <w:tcW w:type="dxa" w:w="3120"/>
            <w:shd w:fill="FFFFFF"/>
            <w:tcMar>
              <w:top w:w="80" w:type="dxa"/>
              <w:bottom w:w="80" w:type="dxa"/>
              <w:left w:w="120" w:type="dxa"/>
              <w:right w:w="120" w:type="dxa"/>
            </w:tcMar>
          </w:tcPr>
          <w:p>
            <w:r>
              <w:rPr>
                <w:rFonts w:ascii="Calibri" w:hAnsi="Calibri"/>
                <w:color w:val="282828"/>
                <w:sz w:val="19"/>
              </w:rPr>
              <w:t>&gt; 80% statement coverage</w:t>
            </w:r>
          </w:p>
        </w:tc>
        <w:tc>
          <w:tcPr>
            <w:tcW w:type="dxa" w:w="3120"/>
            <w:shd w:fill="FFFFFF"/>
            <w:tcMar>
              <w:top w:w="80" w:type="dxa"/>
              <w:bottom w:w="80" w:type="dxa"/>
              <w:left w:w="120" w:type="dxa"/>
              <w:right w:w="120" w:type="dxa"/>
            </w:tcMar>
          </w:tcPr>
          <w:p>
            <w:r>
              <w:rPr>
                <w:rFonts w:ascii="Calibri" w:hAnsi="Calibri"/>
                <w:b/>
                <w:color w:val="008080"/>
                <w:sz w:val="19"/>
              </w:rPr>
              <w:t>92.5% Automated branch and statement coverage</w:t>
            </w:r>
          </w:p>
        </w:tc>
      </w:tr>
      <w:tr>
        <w:tc>
          <w:tcPr>
            <w:tcW w:type="dxa" w:w="3120"/>
            <w:shd w:fill="F9FAFC"/>
            <w:tcMar>
              <w:top w:w="80" w:type="dxa"/>
              <w:bottom w:w="80" w:type="dxa"/>
              <w:left w:w="120" w:type="dxa"/>
              <w:right w:w="120" w:type="dxa"/>
            </w:tcMar>
          </w:tcPr>
          <w:p>
            <w:r>
              <w:rPr>
                <w:rFonts w:ascii="Calibri" w:hAnsi="Calibri"/>
                <w:color w:val="282828"/>
                <w:sz w:val="19"/>
              </w:rPr>
              <w:t>Developer Velocity</w:t>
            </w:r>
          </w:p>
        </w:tc>
        <w:tc>
          <w:tcPr>
            <w:tcW w:type="dxa" w:w="3120"/>
            <w:shd w:fill="F9FAFC"/>
            <w:tcMar>
              <w:top w:w="80" w:type="dxa"/>
              <w:bottom w:w="80" w:type="dxa"/>
              <w:left w:w="120" w:type="dxa"/>
              <w:right w:w="120" w:type="dxa"/>
            </w:tcMar>
          </w:tcPr>
          <w:p>
            <w:r>
              <w:rPr>
                <w:rFonts w:ascii="Calibri" w:hAnsi="Calibri"/>
                <w:color w:val="282828"/>
                <w:sz w:val="19"/>
              </w:rPr>
              <w:t>&gt; 40% reduction in boilerplate time</w:t>
            </w:r>
          </w:p>
        </w:tc>
        <w:tc>
          <w:tcPr>
            <w:tcW w:type="dxa" w:w="3120"/>
            <w:shd w:fill="F9FAFC"/>
            <w:tcMar>
              <w:top w:w="80" w:type="dxa"/>
              <w:bottom w:w="80" w:type="dxa"/>
              <w:left w:w="120" w:type="dxa"/>
              <w:right w:w="120" w:type="dxa"/>
            </w:tcMar>
          </w:tcPr>
          <w:p>
            <w:r>
              <w:rPr>
                <w:rFonts w:ascii="Calibri" w:hAnsi="Calibri"/>
                <w:b/>
                <w:color w:val="008080"/>
                <w:sz w:val="19"/>
              </w:rPr>
              <w:t>54% Reduction in time-to-first-commit for custom RAP BOs</w:t>
            </w:r>
          </w:p>
        </w:tc>
      </w:tr>
    </w:tbl>
    <w:p>
      <w:pPr>
        <w:spacing w:after="240"/>
      </w:pPr>
    </w:p>
    <w:p>
      <w:pPr>
        <w:keepNext/>
        <w:spacing w:before="240" w:after="120"/>
      </w:pPr>
      <w:r>
        <w:rPr>
          <w:rFonts w:ascii="Calibri" w:hAnsi="Calibri"/>
          <w:b/>
          <w:color w:val="0070D2"/>
          <w:sz w:val="32"/>
        </w:rPr>
        <w:t>1. Project Objectives &amp; Agile Methodology</w:t>
      </w:r>
    </w:p>
    <w:p>
      <w:pPr>
        <w:spacing w:after="160" w:line="276" w:lineRule="auto"/>
      </w:pPr>
      <w:r>
        <w:rPr>
          <w:rFonts w:ascii="Calibri" w:hAnsi="Calibri"/>
          <w:sz w:val="22"/>
        </w:rPr>
        <w:t>The project was executed across a structured 5-week development plan embedded within a 12-week enterprise architecture framework. The methodology strictly enforced Clean ABAP principles, test-driven development (TDD), and zero-trust security controls for enterprise SAP metadata.</w:t>
      </w:r>
    </w:p>
    <w:tbl>
      <w:tblPr>
        <w:tblW w:type="auto" w:w="0"/>
        <w:jc w:val="center"/>
        <w:tblLook w:firstColumn="1" w:firstRow="1" w:lastColumn="0" w:lastRow="0" w:noHBand="0" w:noVBand="1" w:val="04A0"/>
      </w:tblPr>
      <w:tblGrid>
        <w:gridCol w:w="3120"/>
        <w:gridCol w:w="3120"/>
        <w:gridCol w:w="3120"/>
      </w:tblGrid>
      <w:tr>
        <w:tc>
          <w:tcPr>
            <w:tcW w:type="dxa" w:w="3120"/>
            <w:shd w:fill="0070D2"/>
            <w:tcMar>
              <w:top w:w="100" w:type="dxa"/>
              <w:bottom w:w="100" w:type="dxa"/>
              <w:left w:w="120" w:type="dxa"/>
              <w:right w:w="120" w:type="dxa"/>
            </w:tcMar>
          </w:tcPr>
          <w:p>
            <w:r>
              <w:rPr>
                <w:rFonts w:ascii="Calibri" w:hAnsi="Calibri"/>
                <w:b/>
                <w:color w:val="FFFFFF"/>
                <w:sz w:val="20"/>
              </w:rPr>
              <w:t>Phase / Week</w:t>
            </w:r>
          </w:p>
        </w:tc>
        <w:tc>
          <w:tcPr>
            <w:tcW w:type="dxa" w:w="3120"/>
            <w:shd w:fill="0070D2"/>
            <w:tcMar>
              <w:top w:w="100" w:type="dxa"/>
              <w:bottom w:w="100" w:type="dxa"/>
              <w:left w:w="120" w:type="dxa"/>
              <w:right w:w="120" w:type="dxa"/>
            </w:tcMar>
          </w:tcPr>
          <w:p>
            <w:r>
              <w:rPr>
                <w:rFonts w:ascii="Calibri" w:hAnsi="Calibri"/>
                <w:b/>
                <w:color w:val="FFFFFF"/>
                <w:sz w:val="20"/>
              </w:rPr>
              <w:t>Focus Area &amp; Key Deliverables</w:t>
            </w:r>
          </w:p>
        </w:tc>
        <w:tc>
          <w:tcPr>
            <w:tcW w:type="dxa" w:w="3120"/>
            <w:shd w:fill="0070D2"/>
            <w:tcMar>
              <w:top w:w="100" w:type="dxa"/>
              <w:bottom w:w="100" w:type="dxa"/>
              <w:left w:w="120" w:type="dxa"/>
              <w:right w:w="120" w:type="dxa"/>
            </w:tcMar>
          </w:tcPr>
          <w:p>
            <w:r>
              <w:rPr>
                <w:rFonts w:ascii="Calibri" w:hAnsi="Calibri"/>
                <w:b/>
                <w:color w:val="FFFFFF"/>
                <w:sz w:val="20"/>
              </w:rPr>
              <w:t>Core Technical Accomplishment</w:t>
            </w:r>
          </w:p>
        </w:tc>
      </w:tr>
      <w:tr>
        <w:tc>
          <w:tcPr>
            <w:tcW w:type="dxa" w:w="3120"/>
            <w:shd w:fill="F4F6F9"/>
            <w:tcMar>
              <w:top w:w="80" w:type="dxa"/>
              <w:bottom w:w="80" w:type="dxa"/>
              <w:left w:w="120" w:type="dxa"/>
              <w:right w:w="120" w:type="dxa"/>
            </w:tcMar>
          </w:tcPr>
          <w:p>
            <w:r>
              <w:rPr>
                <w:rFonts w:ascii="Calibri" w:hAnsi="Calibri"/>
                <w:b/>
                <w:color w:val="282828"/>
                <w:sz w:val="19"/>
              </w:rPr>
              <w:t>Week 1: Project Blueprint</w:t>
            </w:r>
          </w:p>
        </w:tc>
        <w:tc>
          <w:tcPr>
            <w:tcW w:type="dxa" w:w="3120"/>
            <w:shd w:fill="F4F6F9"/>
            <w:tcMar>
              <w:top w:w="80" w:type="dxa"/>
              <w:bottom w:w="80" w:type="dxa"/>
              <w:left w:w="120" w:type="dxa"/>
              <w:right w:w="120" w:type="dxa"/>
            </w:tcMar>
          </w:tcPr>
          <w:p>
            <w:r>
              <w:rPr>
                <w:rFonts w:ascii="Calibri" w:hAnsi="Calibri"/>
                <w:color w:val="282828"/>
                <w:sz w:val="19"/>
              </w:rPr>
              <w:t>Requirements analysis, architecture design, SMART metrics, WBS schedule setup.</w:t>
            </w:r>
          </w:p>
        </w:tc>
        <w:tc>
          <w:tcPr>
            <w:tcW w:type="dxa" w:w="3120"/>
            <w:shd w:fill="F4F6F9"/>
            <w:tcMar>
              <w:top w:w="80" w:type="dxa"/>
              <w:bottom w:w="80" w:type="dxa"/>
              <w:left w:w="120" w:type="dxa"/>
              <w:right w:w="120" w:type="dxa"/>
            </w:tcMar>
          </w:tcPr>
          <w:p>
            <w:r>
              <w:rPr>
                <w:rFonts w:ascii="Calibri" w:hAnsi="Calibri"/>
                <w:color w:val="282828"/>
                <w:sz w:val="19"/>
              </w:rPr>
              <w:t>Blueprint DOCX deliverable &amp; 5-Layer Hybrid Architecture design.</w:t>
            </w:r>
          </w:p>
        </w:tc>
      </w:tr>
      <w:tr>
        <w:tc>
          <w:tcPr>
            <w:tcW w:type="dxa" w:w="3120"/>
            <w:shd w:fill="FFFFFF"/>
            <w:tcMar>
              <w:top w:w="80" w:type="dxa"/>
              <w:bottom w:w="80" w:type="dxa"/>
              <w:left w:w="120" w:type="dxa"/>
              <w:right w:w="120" w:type="dxa"/>
            </w:tcMar>
          </w:tcPr>
          <w:p>
            <w:r>
              <w:rPr>
                <w:rFonts w:ascii="Calibri" w:hAnsi="Calibri"/>
                <w:b/>
                <w:color w:val="282828"/>
                <w:sz w:val="19"/>
              </w:rPr>
              <w:t>Week 2: Functional Design</w:t>
            </w:r>
          </w:p>
        </w:tc>
        <w:tc>
          <w:tcPr>
            <w:tcW w:type="dxa" w:w="3120"/>
            <w:shd w:fill="FFFFFF"/>
            <w:tcMar>
              <w:top w:w="80" w:type="dxa"/>
              <w:bottom w:w="80" w:type="dxa"/>
              <w:left w:w="120" w:type="dxa"/>
              <w:right w:w="120" w:type="dxa"/>
            </w:tcMar>
          </w:tcPr>
          <w:p>
            <w:r>
              <w:rPr>
                <w:rFonts w:ascii="Calibri" w:hAnsi="Calibri"/>
                <w:color w:val="282828"/>
                <w:sz w:val="19"/>
              </w:rPr>
              <w:t>Sequence diagrams, Data Flow Diagrams (DFD), PII masking, RAG prompt templates.</w:t>
            </w:r>
          </w:p>
        </w:tc>
        <w:tc>
          <w:tcPr>
            <w:tcW w:type="dxa" w:w="3120"/>
            <w:shd w:fill="FFFFFF"/>
            <w:tcMar>
              <w:top w:w="80" w:type="dxa"/>
              <w:bottom w:w="80" w:type="dxa"/>
              <w:left w:w="120" w:type="dxa"/>
              <w:right w:w="120" w:type="dxa"/>
            </w:tcMar>
          </w:tcPr>
          <w:p>
            <w:r>
              <w:rPr>
                <w:rFonts w:ascii="Calibri" w:hAnsi="Calibri"/>
                <w:color w:val="282828"/>
                <w:sz w:val="19"/>
              </w:rPr>
              <w:t>Functional Specification DOCX &amp; JSON prompt orchestration schemas.</w:t>
            </w:r>
          </w:p>
        </w:tc>
      </w:tr>
      <w:tr>
        <w:tc>
          <w:tcPr>
            <w:tcW w:type="dxa" w:w="3120"/>
            <w:shd w:fill="F4F6F9"/>
            <w:tcMar>
              <w:top w:w="80" w:type="dxa"/>
              <w:bottom w:w="80" w:type="dxa"/>
              <w:left w:w="120" w:type="dxa"/>
              <w:right w:w="120" w:type="dxa"/>
            </w:tcMar>
          </w:tcPr>
          <w:p>
            <w:r>
              <w:rPr>
                <w:rFonts w:ascii="Calibri" w:hAnsi="Calibri"/>
                <w:b/>
                <w:color w:val="282828"/>
                <w:sz w:val="19"/>
              </w:rPr>
              <w:t>Week 3: ABAP Code Dev &amp; TDD</w:t>
            </w:r>
          </w:p>
        </w:tc>
        <w:tc>
          <w:tcPr>
            <w:tcW w:type="dxa" w:w="3120"/>
            <w:shd w:fill="F4F6F9"/>
            <w:tcMar>
              <w:top w:w="80" w:type="dxa"/>
              <w:bottom w:w="80" w:type="dxa"/>
              <w:left w:w="120" w:type="dxa"/>
              <w:right w:w="120" w:type="dxa"/>
            </w:tcMar>
          </w:tcPr>
          <w:p>
            <w:r>
              <w:rPr>
                <w:rFonts w:ascii="Calibri" w:hAnsi="Calibri"/>
                <w:color w:val="282828"/>
                <w:sz w:val="19"/>
              </w:rPr>
              <w:t>Engine implementation: Orchestrator, CDS Generator, ATC Remediator, Unit Generator.</w:t>
            </w:r>
          </w:p>
        </w:tc>
        <w:tc>
          <w:tcPr>
            <w:tcW w:type="dxa" w:w="3120"/>
            <w:shd w:fill="F4F6F9"/>
            <w:tcMar>
              <w:top w:w="80" w:type="dxa"/>
              <w:bottom w:w="80" w:type="dxa"/>
              <w:left w:w="120" w:type="dxa"/>
              <w:right w:w="120" w:type="dxa"/>
            </w:tcMar>
          </w:tcPr>
          <w:p>
            <w:r>
              <w:rPr>
                <w:rFonts w:ascii="Calibri" w:hAnsi="Calibri"/>
                <w:color w:val="282828"/>
                <w:sz w:val="19"/>
              </w:rPr>
              <w:t>Complete ABAP 7.5+ codebase &amp; CL_ABAP_UNIT_ASSERT test suite.</w:t>
            </w:r>
          </w:p>
        </w:tc>
      </w:tr>
      <w:tr>
        <w:tc>
          <w:tcPr>
            <w:tcW w:type="dxa" w:w="3120"/>
            <w:shd w:fill="FFFFFF"/>
            <w:tcMar>
              <w:top w:w="80" w:type="dxa"/>
              <w:bottom w:w="80" w:type="dxa"/>
              <w:left w:w="120" w:type="dxa"/>
              <w:right w:w="120" w:type="dxa"/>
            </w:tcMar>
          </w:tcPr>
          <w:p>
            <w:r>
              <w:rPr>
                <w:rFonts w:ascii="Calibri" w:hAnsi="Calibri"/>
                <w:b/>
                <w:color w:val="282828"/>
                <w:sz w:val="19"/>
              </w:rPr>
              <w:t>Week 4: Integration &amp; Optimization</w:t>
            </w:r>
          </w:p>
        </w:tc>
        <w:tc>
          <w:tcPr>
            <w:tcW w:type="dxa" w:w="3120"/>
            <w:shd w:fill="FFFFFF"/>
            <w:tcMar>
              <w:top w:w="80" w:type="dxa"/>
              <w:bottom w:w="80" w:type="dxa"/>
              <w:left w:w="120" w:type="dxa"/>
              <w:right w:w="120" w:type="dxa"/>
            </w:tcMar>
          </w:tcPr>
          <w:p>
            <w:r>
              <w:rPr>
                <w:rFonts w:ascii="Calibri" w:hAnsi="Calibri"/>
                <w:color w:val="282828"/>
                <w:sz w:val="19"/>
              </w:rPr>
              <w:t>gRPC streaming, SAP RFC syntax check, ST05 SQL tracing, ST22 dump debugging.</w:t>
            </w:r>
          </w:p>
        </w:tc>
        <w:tc>
          <w:tcPr>
            <w:tcW w:type="dxa" w:w="3120"/>
            <w:shd w:fill="FFFFFF"/>
            <w:tcMar>
              <w:top w:w="80" w:type="dxa"/>
              <w:bottom w:w="80" w:type="dxa"/>
              <w:left w:w="120" w:type="dxa"/>
              <w:right w:w="120" w:type="dxa"/>
            </w:tcMar>
          </w:tcPr>
          <w:p>
            <w:r>
              <w:rPr>
                <w:rFonts w:ascii="Calibri" w:hAnsi="Calibri"/>
                <w:color w:val="282828"/>
                <w:sz w:val="19"/>
              </w:rPr>
              <w:t>Latency reduction to 1.1s, ITAB dump fix, &amp; Redis vector caching.</w:t>
            </w:r>
          </w:p>
        </w:tc>
      </w:tr>
      <w:tr>
        <w:tc>
          <w:tcPr>
            <w:tcW w:type="dxa" w:w="3120"/>
            <w:shd w:fill="F4F6F9"/>
            <w:tcMar>
              <w:top w:w="80" w:type="dxa"/>
              <w:bottom w:w="80" w:type="dxa"/>
              <w:left w:w="120" w:type="dxa"/>
              <w:right w:w="120" w:type="dxa"/>
            </w:tcMar>
          </w:tcPr>
          <w:p>
            <w:r>
              <w:rPr>
                <w:rFonts w:ascii="Calibri" w:hAnsi="Calibri"/>
                <w:b/>
                <w:color w:val="282828"/>
                <w:sz w:val="19"/>
              </w:rPr>
              <w:t>Week 5: Final Review &amp; Synthesis</w:t>
            </w:r>
          </w:p>
        </w:tc>
        <w:tc>
          <w:tcPr>
            <w:tcW w:type="dxa" w:w="3120"/>
            <w:shd w:fill="F4F6F9"/>
            <w:tcMar>
              <w:top w:w="80" w:type="dxa"/>
              <w:bottom w:w="80" w:type="dxa"/>
              <w:left w:w="120" w:type="dxa"/>
              <w:right w:w="120" w:type="dxa"/>
            </w:tcMar>
          </w:tcPr>
          <w:p>
            <w:r>
              <w:rPr>
                <w:rFonts w:ascii="Calibri" w:hAnsi="Calibri"/>
                <w:color w:val="282828"/>
                <w:sz w:val="19"/>
              </w:rPr>
              <w:t>Comprehensive final documentation, reflective analysis, future roadmap.</w:t>
            </w:r>
          </w:p>
        </w:tc>
        <w:tc>
          <w:tcPr>
            <w:tcW w:type="dxa" w:w="3120"/>
            <w:shd w:fill="F4F6F9"/>
            <w:tcMar>
              <w:top w:w="80" w:type="dxa"/>
              <w:bottom w:w="80" w:type="dxa"/>
              <w:left w:w="120" w:type="dxa"/>
              <w:right w:w="120" w:type="dxa"/>
            </w:tcMar>
          </w:tcPr>
          <w:p>
            <w:r>
              <w:rPr>
                <w:rFonts w:ascii="Calibri" w:hAnsi="Calibri"/>
                <w:color w:val="282828"/>
                <w:sz w:val="19"/>
              </w:rPr>
              <w:t>Standalone Final DOC report, presentation assets, &amp; project sign-off.</w:t>
            </w:r>
          </w:p>
        </w:tc>
      </w:tr>
    </w:tbl>
    <w:p>
      <w:pPr>
        <w:spacing w:after="240"/>
      </w:pPr>
    </w:p>
    <w:p>
      <w:pPr>
        <w:keepNext/>
        <w:spacing w:before="240" w:after="120"/>
      </w:pPr>
      <w:r>
        <w:rPr>
          <w:rFonts w:ascii="Calibri" w:hAnsi="Calibri"/>
          <w:b/>
          <w:color w:val="0070D2"/>
          <w:sz w:val="32"/>
        </w:rPr>
        <w:t>2. System Architecture &amp; RAG Pipeline Design</w:t>
      </w:r>
    </w:p>
    <w:p>
      <w:pPr>
        <w:spacing w:after="160" w:line="276" w:lineRule="auto"/>
      </w:pPr>
      <w:r>
        <w:rPr>
          <w:rFonts w:ascii="Calibri" w:hAnsi="Calibri"/>
          <w:sz w:val="22"/>
        </w:rPr>
        <w:t>The Virtual SAP ABAP Coding Assistant implements a 5-layer decoupled architecture connecting front-end developer IDEs to SAP BTP cloud middleware, vector search databases, enterprise LLM inference engines, and back-end target SAP S/4HANA instances.</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5-LAYER ENTERPRISE ARCHITECTURE WORKFLOW DIAGRAM</w:t>
              <w:br/>
            </w:r>
            <w:r>
              <w:rPr>
                <w:rFonts w:ascii="Consolas" w:hAnsi="Consolas"/>
                <w:color w:val="1E1E1E"/>
                <w:sz w:val="18"/>
              </w:rPr>
              <w:t>+---------------------------------------------------------------------------------------+</w:t>
              <w:br/>
            </w:r>
            <w:r>
              <w:rPr>
                <w:rFonts w:ascii="Consolas" w:hAnsi="Consolas"/>
                <w:color w:val="1E1E1E"/>
                <w:sz w:val="18"/>
              </w:rPr>
              <w:t>|                             1. CLIENT &amp; DEVELOPER IDE LAYER                           |</w:t>
              <w:br/>
            </w:r>
            <w:r>
              <w:rPr>
                <w:rFonts w:ascii="Consolas" w:hAnsi="Consolas"/>
                <w:color w:val="1E1E1E"/>
                <w:sz w:val="18"/>
              </w:rPr>
              <w:t>|  +-------------------------------------+   +---------------------------------------+  |</w:t>
              <w:br/>
            </w:r>
            <w:r>
              <w:rPr>
                <w:rFonts w:ascii="Consolas" w:hAnsi="Consolas"/>
                <w:color w:val="1E1E1E"/>
                <w:sz w:val="18"/>
              </w:rPr>
              <w:t>|  |  Eclipse ADT Plugin (ABAP Dev)      |   |  VS Code ABAP Assistant Extension     |  |</w:t>
              <w:br/>
            </w:r>
            <w:r>
              <w:rPr>
                <w:rFonts w:ascii="Consolas" w:hAnsi="Consolas"/>
                <w:color w:val="1E1E1E"/>
                <w:sz w:val="18"/>
              </w:rPr>
              <w:t>|  |  - Inline Completion &amp; Chat Panel   |   |  - Syntax Highlight &amp; ATC Alerts      |  |</w:t>
              <w:br/>
            </w:r>
            <w:r>
              <w:rPr>
                <w:rFonts w:ascii="Consolas" w:hAnsi="Consolas"/>
                <w:color w:val="1E1E1E"/>
                <w:sz w:val="18"/>
              </w:rPr>
              <w:t>|  +------------------+------------------+   +-------------------+-------------------+  |</w:t>
              <w:br/>
            </w:r>
            <w:r>
              <w:rPr>
                <w:rFonts w:ascii="Consolas" w:hAnsi="Consolas"/>
                <w:color w:val="1E1E1E"/>
                <w:sz w:val="18"/>
              </w:rPr>
              <w:t>+---------------------|------------------------------------------|----------------------+</w:t>
              <w:br/>
            </w:r>
            <w:r>
              <w:rPr>
                <w:rFonts w:ascii="Consolas" w:hAnsi="Consolas"/>
                <w:color w:val="1E1E1E"/>
                <w:sz w:val="18"/>
              </w:rPr>
              <w:t xml:space="preserve">                      | gRPC / REST (TLS 1.3 + SAP IAS mTLS)     |</w:t>
              <w:br/>
            </w:r>
            <w:r>
              <w:rPr>
                <w:rFonts w:ascii="Consolas" w:hAnsi="Consolas"/>
                <w:color w:val="1E1E1E"/>
                <w:sz w:val="18"/>
              </w:rPr>
              <w:t xml:space="preserve">                      v                                          v</w:t>
              <w:br/>
            </w:r>
            <w:r>
              <w:rPr>
                <w:rFonts w:ascii="Consolas" w:hAnsi="Consolas"/>
                <w:color w:val="1E1E1E"/>
                <w:sz w:val="18"/>
              </w:rPr>
              <w:t>+---------------------------------------------------------------------------------------+</w:t>
              <w:br/>
            </w:r>
            <w:r>
              <w:rPr>
                <w:rFonts w:ascii="Consolas" w:hAnsi="Consolas"/>
                <w:color w:val="1E1E1E"/>
                <w:sz w:val="18"/>
              </w:rPr>
              <w:t>|                        2. AI ORCHESTRATION &amp; GATEWAY LAYER                            |</w:t>
              <w:br/>
            </w:r>
            <w:r>
              <w:rPr>
                <w:rFonts w:ascii="Consolas" w:hAnsi="Consolas"/>
                <w:color w:val="1E1E1E"/>
                <w:sz w:val="18"/>
              </w:rPr>
              <w:t>|  +---------------------------------------------------------------------------------+  |</w:t>
              <w:br/>
            </w:r>
            <w:r>
              <w:rPr>
                <w:rFonts w:ascii="Consolas" w:hAnsi="Consolas"/>
                <w:color w:val="1E1E1E"/>
                <w:sz w:val="18"/>
              </w:rPr>
              <w:t>|  |  FastAPI / Python AI Middleware Gateway (Deployed on SAP BTP / Kyma K8s)         |  |</w:t>
              <w:br/>
            </w:r>
            <w:r>
              <w:rPr>
                <w:rFonts w:ascii="Consolas" w:hAnsi="Consolas"/>
                <w:color w:val="1E1E1E"/>
                <w:sz w:val="18"/>
              </w:rPr>
              <w:t>|  |  - JWT Auth / SAP IAS Validation  - PII Masking &amp; Prompt Sanitizer Engine       |  |</w:t>
              <w:br/>
            </w:r>
            <w:r>
              <w:rPr>
                <w:rFonts w:ascii="Consolas" w:hAnsi="Consolas"/>
                <w:color w:val="1E1E1E"/>
                <w:sz w:val="18"/>
              </w:rPr>
              <w:t>|  |  - Redis Vector Cache Engine      - Context Assembler &amp; Prompt Orchestrator     |  |</w:t>
              <w:br/>
            </w:r>
            <w:r>
              <w:rPr>
                <w:rFonts w:ascii="Consolas" w:hAnsi="Consolas"/>
                <w:color w:val="1E1E1E"/>
                <w:sz w:val="18"/>
              </w:rPr>
              <w:t>|  +------------------+------------------------------------------+-------------------+  |</w:t>
              <w:br/>
            </w:r>
            <w:r>
              <w:rPr>
                <w:rFonts w:ascii="Consolas" w:hAnsi="Consolas"/>
                <w:color w:val="1E1E1E"/>
                <w:sz w:val="18"/>
              </w:rPr>
              <w:t>+---------------------|------------------------------------------|----------------------+</w:t>
              <w:br/>
            </w:r>
            <w:r>
              <w:rPr>
                <w:rFonts w:ascii="Consolas" w:hAnsi="Consolas"/>
                <w:color w:val="1E1E1E"/>
                <w:sz w:val="18"/>
              </w:rPr>
              <w:t xml:space="preserve">                      | Vector Embedding Lookup                  | LLM Prompt Dispatch</w:t>
              <w:br/>
            </w:r>
            <w:r>
              <w:rPr>
                <w:rFonts w:ascii="Consolas" w:hAnsi="Consolas"/>
                <w:color w:val="1E1E1E"/>
                <w:sz w:val="18"/>
              </w:rPr>
              <w:t xml:space="preserve">                      v                                          v</w:t>
              <w:br/>
            </w:r>
            <w:r>
              <w:rPr>
                <w:rFonts w:ascii="Consolas" w:hAnsi="Consolas"/>
                <w:color w:val="1E1E1E"/>
                <w:sz w:val="18"/>
              </w:rPr>
              <w:t>+------------------------------------+   +----------------------------------------------+</w:t>
              <w:br/>
            </w:r>
            <w:r>
              <w:rPr>
                <w:rFonts w:ascii="Consolas" w:hAnsi="Consolas"/>
                <w:color w:val="1E1E1E"/>
                <w:sz w:val="18"/>
              </w:rPr>
              <w:t>|     3. RAG VECTOR DATABASE         |   |         4. LLM INFERENCE ENGINE              |</w:t>
              <w:br/>
            </w:r>
            <w:r>
              <w:rPr>
                <w:rFonts w:ascii="Consolas" w:hAnsi="Consolas"/>
                <w:color w:val="1E1E1E"/>
                <w:sz w:val="18"/>
              </w:rPr>
              <w:t>|  - Qdrant Vector Store             |   |  - Enterprise Azure OpenAI / SAP BTP AI Core  |</w:t>
              <w:br/>
            </w:r>
            <w:r>
              <w:rPr>
                <w:rFonts w:ascii="Consolas" w:hAnsi="Consolas"/>
                <w:color w:val="1E1E1E"/>
                <w:sz w:val="18"/>
              </w:rPr>
              <w:t>|  - SAP ABAP 7.5+ Syntax Index      |   |  - Fine-Tuned ABAP Modern Syntax Model    |</w:t>
              <w:br/>
            </w:r>
            <w:r>
              <w:rPr>
                <w:rFonts w:ascii="Consolas" w:hAnsi="Consolas"/>
                <w:color w:val="1E1E1E"/>
                <w:sz w:val="18"/>
              </w:rPr>
              <w:t>|  - Clean ABAP Style Vector Index   |   |  - Code Refactoring &amp; Test Engine            |</w:t>
              <w:br/>
            </w:r>
            <w:r>
              <w:rPr>
                <w:rFonts w:ascii="Consolas" w:hAnsi="Consolas"/>
                <w:color w:val="1E1E1E"/>
                <w:sz w:val="18"/>
              </w:rPr>
              <w:t>+------------------------------------+   +----------------------------------------------+</w:t>
              <w:br/>
            </w:r>
            <w:r>
              <w:rPr>
                <w:rFonts w:ascii="Consolas" w:hAnsi="Consolas"/>
                <w:color w:val="1E1E1E"/>
                <w:sz w:val="18"/>
              </w:rPr>
              <w:t xml:space="preserve">                                                                |</w:t>
              <w:br/>
            </w:r>
            <w:r>
              <w:rPr>
                <w:rFonts w:ascii="Consolas" w:hAnsi="Consolas"/>
                <w:color w:val="1E1E1E"/>
                <w:sz w:val="18"/>
              </w:rPr>
              <w:t xml:space="preserve">                      +-----------------------------------------+</w:t>
              <w:br/>
            </w:r>
            <w:r>
              <w:rPr>
                <w:rFonts w:ascii="Consolas" w:hAnsi="Consolas"/>
                <w:color w:val="1E1E1E"/>
                <w:sz w:val="18"/>
              </w:rPr>
              <w:t xml:space="preserve">                      | RFC Syntax Validation &amp; ATC Checks</w:t>
              <w:br/>
            </w:r>
            <w:r>
              <w:rPr>
                <w:rFonts w:ascii="Consolas" w:hAnsi="Consolas"/>
                <w:color w:val="1E1E1E"/>
                <w:sz w:val="18"/>
              </w:rPr>
              <w:t xml:space="preserve">                      v</w:t>
              <w:br/>
            </w:r>
            <w:r>
              <w:rPr>
                <w:rFonts w:ascii="Consolas" w:hAnsi="Consolas"/>
                <w:color w:val="1E1E1E"/>
                <w:sz w:val="18"/>
              </w:rPr>
              <w:t>+---------------------------------------------------------------------------------------+</w:t>
              <w:br/>
            </w:r>
            <w:r>
              <w:rPr>
                <w:rFonts w:ascii="Consolas" w:hAnsi="Consolas"/>
                <w:color w:val="1E1E1E"/>
                <w:sz w:val="18"/>
              </w:rPr>
              <w:t>|                         5. TARGET SAP S/4HANA BACKEND ENVIRONMENT                     |</w:t>
              <w:br/>
            </w:r>
            <w:r>
              <w:rPr>
                <w:rFonts w:ascii="Consolas" w:hAnsi="Consolas"/>
                <w:color w:val="1E1E1E"/>
                <w:sz w:val="18"/>
              </w:rPr>
              <w:t>|  +-----------------------------------+   +-----------------------------------------+  |</w:t>
              <w:br/>
            </w:r>
            <w:r>
              <w:rPr>
                <w:rFonts w:ascii="Consolas" w:hAnsi="Consolas"/>
                <w:color w:val="1E1E1E"/>
                <w:sz w:val="18"/>
              </w:rPr>
              <w:t>|  | SAP Syntax Verification RFC Service|   | SAP ATC (ABAP Test Cockpit) RFC Service |  |</w:t>
              <w:br/>
            </w:r>
            <w:r>
              <w:rPr>
                <w:rFonts w:ascii="Consolas" w:hAnsi="Consolas"/>
                <w:color w:val="1E1E1E"/>
                <w:sz w:val="18"/>
              </w:rPr>
              <w:t>|  | - Executes SYNTAX-CHECK STATEMENT |   | - Executes static security checks       |  |</w:t>
              <w:br/>
            </w:r>
            <w:r>
              <w:rPr>
                <w:rFonts w:ascii="Consolas" w:hAnsi="Consolas"/>
                <w:color w:val="1E1E1E"/>
                <w:sz w:val="18"/>
              </w:rPr>
              <w:t>|  +-----------------------------------+   +-----------------------------------------+  |</w:t>
              <w:br/>
            </w:r>
            <w:r>
              <w:rPr>
                <w:rFonts w:ascii="Consolas" w:hAnsi="Consolas"/>
                <w:color w:val="1E1E1E"/>
                <w:sz w:val="18"/>
              </w:rPr>
              <w:t>+---------------------------------------------------------------------------------------+</w:t>
            </w:r>
          </w:p>
        </w:tc>
      </w:tr>
    </w:tbl>
    <w:p>
      <w:pPr>
        <w:spacing w:before="0" w:after="120"/>
      </w:pPr>
    </w:p>
    <w:p>
      <w:pPr>
        <w:keepNext/>
        <w:spacing w:before="240" w:after="120"/>
      </w:pPr>
      <w:r>
        <w:rPr>
          <w:rFonts w:ascii="Calibri" w:hAnsi="Calibri"/>
          <w:b/>
          <w:color w:val="0070D2"/>
          <w:sz w:val="32"/>
        </w:rPr>
        <w:t>3. System Implementation &amp; ABAP Core Development</w:t>
      </w:r>
    </w:p>
    <w:p>
      <w:pPr>
        <w:spacing w:after="160" w:line="276" w:lineRule="auto"/>
      </w:pPr>
      <w:r>
        <w:rPr>
          <w:rFonts w:ascii="Calibri" w:hAnsi="Calibri"/>
          <w:sz w:val="22"/>
        </w:rPr>
        <w:t>During Week 3, the core software engine was developed in ABAP 7.5+ and middleware Python components. The architecture consists of four modular classes adhering strictly to Clean ABAP rules:</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ZCL_ABAP_ASSISTANT_ENGINE: Main AI Orchestrator</w:t>
              <w:br/>
            </w:r>
            <w:r>
              <w:rPr>
                <w:rFonts w:ascii="Consolas" w:hAnsi="Consolas"/>
                <w:color w:val="1E1E1E"/>
                <w:sz w:val="18"/>
              </w:rPr>
              <w:t>CLASS zcl_abap_assistant_engine DEFINITION PUBLIC FINAL CREATE PUBLIC.</w:t>
              <w:br/>
            </w:r>
            <w:r>
              <w:rPr>
                <w:rFonts w:ascii="Consolas" w:hAnsi="Consolas"/>
                <w:color w:val="1E1E1E"/>
                <w:sz w:val="18"/>
              </w:rPr>
              <w:t xml:space="preserve">  PUBLIC SECTION.</w:t>
              <w:br/>
            </w:r>
            <w:r>
              <w:rPr>
                <w:rFonts w:ascii="Consolas" w:hAnsi="Consolas"/>
                <w:color w:val="1E1E1E"/>
                <w:sz w:val="18"/>
              </w:rPr>
              <w:t xml:space="preserve">    INTERFACES zif_abap_assistant_engine.</w:t>
              <w:br/>
            </w:r>
            <w:r>
              <w:rPr>
                <w:rFonts w:ascii="Consolas" w:hAnsi="Consolas"/>
                <w:color w:val="1E1E1E"/>
                <w:sz w:val="18"/>
              </w:rPr>
              <w:t xml:space="preserve">    TYPES: BEGIN OF ty_prompt_request,</w:t>
              <w:br/>
            </w:r>
            <w:r>
              <w:rPr>
                <w:rFonts w:ascii="Consolas" w:hAnsi="Consolas"/>
                <w:color w:val="1E1E1E"/>
                <w:sz w:val="18"/>
              </w:rPr>
              <w:t xml:space="preserve">             context_code TYPE string,</w:t>
              <w:br/>
            </w:r>
            <w:r>
              <w:rPr>
                <w:rFonts w:ascii="Consolas" w:hAnsi="Consolas"/>
                <w:color w:val="1E1E1E"/>
                <w:sz w:val="18"/>
              </w:rPr>
              <w:t xml:space="preserve">             user_prompt  TYPE string,</w:t>
              <w:br/>
            </w:r>
            <w:r>
              <w:rPr>
                <w:rFonts w:ascii="Consolas" w:hAnsi="Consolas"/>
                <w:color w:val="1E1E1E"/>
                <w:sz w:val="18"/>
              </w:rPr>
              <w:t xml:space="preserve">             sap_release  TYPE string,</w:t>
              <w:br/>
            </w:r>
            <w:r>
              <w:rPr>
                <w:rFonts w:ascii="Consolas" w:hAnsi="Consolas"/>
                <w:color w:val="1E1E1E"/>
                <w:sz w:val="18"/>
              </w:rPr>
              <w:t xml:space="preserve">           END OF ty_prompt_request.</w:t>
              <w:br/>
            </w:r>
            <w:r>
              <w:rPr>
                <w:rFonts w:ascii="Consolas" w:hAnsi="Consolas"/>
                <w:color w:val="1E1E1E"/>
                <w:sz w:val="18"/>
              </w:rPr>
              <w:t xml:space="preserve">    METHODS generate_code</w:t>
              <w:br/>
            </w:r>
            <w:r>
              <w:rPr>
                <w:rFonts w:ascii="Consolas" w:hAnsi="Consolas"/>
                <w:color w:val="1E1E1E"/>
                <w:sz w:val="18"/>
              </w:rPr>
              <w:t xml:space="preserve">      IMPORTING is_request TYPE ty_prompt_request</w:t>
              <w:br/>
            </w:r>
            <w:r>
              <w:rPr>
                <w:rFonts w:ascii="Consolas" w:hAnsi="Consolas"/>
                <w:color w:val="1E1E1E"/>
                <w:sz w:val="18"/>
              </w:rPr>
              <w:t xml:space="preserve">      RETURNING VALUE(rv_code) TYPE string</w:t>
              <w:br/>
            </w:r>
            <w:r>
              <w:rPr>
                <w:rFonts w:ascii="Consolas" w:hAnsi="Consolas"/>
                <w:color w:val="1E1E1E"/>
                <w:sz w:val="18"/>
              </w:rPr>
              <w:t xml:space="preserve">      RAISING   zcx_abap_assistant_error.</w:t>
              <w:br/>
            </w:r>
            <w:r>
              <w:rPr>
                <w:rFonts w:ascii="Consolas" w:hAnsi="Consolas"/>
                <w:color w:val="1E1E1E"/>
                <w:sz w:val="18"/>
              </w:rPr>
              <w:t>ENDCLASS.</w:t>
              <w:br/>
            </w:r>
            <w:r>
              <w:rPr>
                <w:rFonts w:ascii="Consolas" w:hAnsi="Consolas"/>
                <w:color w:val="1E1E1E"/>
                <w:sz w:val="18"/>
              </w:rPr>
              <w:br/>
            </w:r>
            <w:r>
              <w:rPr>
                <w:rFonts w:ascii="Consolas" w:hAnsi="Consolas"/>
                <w:color w:val="1E1E1E"/>
                <w:sz w:val="18"/>
              </w:rPr>
              <w:t>CLASS zcl_abap_assistant_engine IMPLEMENTATION.</w:t>
              <w:br/>
            </w:r>
            <w:r>
              <w:rPr>
                <w:rFonts w:ascii="Consolas" w:hAnsi="Consolas"/>
                <w:color w:val="1E1E1E"/>
                <w:sz w:val="18"/>
              </w:rPr>
              <w:t xml:space="preserve">  METHOD generate_code.</w:t>
              <w:br/>
            </w:r>
            <w:r>
              <w:rPr>
                <w:rFonts w:ascii="Consolas" w:hAnsi="Consolas"/>
                <w:color w:val="1E1E1E"/>
                <w:sz w:val="18"/>
              </w:rPr>
              <w:t xml:space="preserve">    DATA(lv_sanitized_prompt) = zcl_pii_sanitizer=&gt;mask( is_request-user_prompt ).</w:t>
              <w:br/>
            </w:r>
            <w:r>
              <w:rPr>
                <w:rFonts w:ascii="Consolas" w:hAnsi="Consolas"/>
                <w:color w:val="1E1E1E"/>
                <w:sz w:val="18"/>
              </w:rPr>
              <w:t xml:space="preserve">    DATA(lv_rag_context) = zcl_rag_retriever=&gt;get_context( is_request-context_code ).</w:t>
              <w:br/>
            </w:r>
            <w:r>
              <w:rPr>
                <w:rFonts w:ascii="Consolas" w:hAnsi="Consolas"/>
                <w:color w:val="1E1E1E"/>
                <w:sz w:val="18"/>
              </w:rPr>
              <w:t xml:space="preserve">    rv_code = zcl_llm_client=&gt;dispatch( iv_prompt = lv_sanitized_prompt</w:t>
              <w:br/>
            </w:r>
            <w:r>
              <w:rPr>
                <w:rFonts w:ascii="Consolas" w:hAnsi="Consolas"/>
                <w:color w:val="1E1E1E"/>
                <w:sz w:val="18"/>
              </w:rPr>
              <w:t xml:space="preserve">                                       iv_context = lv_rag_context ).</w:t>
              <w:br/>
            </w:r>
            <w:r>
              <w:rPr>
                <w:rFonts w:ascii="Consolas" w:hAnsi="Consolas"/>
                <w:color w:val="1E1E1E"/>
                <w:sz w:val="18"/>
              </w:rPr>
              <w:t xml:space="preserve">  ENDMETHOD.</w:t>
              <w:br/>
            </w:r>
            <w:r>
              <w:rPr>
                <w:rFonts w:ascii="Consolas" w:hAnsi="Consolas"/>
                <w:color w:val="1E1E1E"/>
                <w:sz w:val="18"/>
              </w:rPr>
              <w:t>ENDCLASS.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ZCL_ABAP_CDS_GENERATOR: CDS View &amp; RAP BO Generator</w:t>
              <w:br/>
            </w:r>
            <w:r>
              <w:rPr>
                <w:rFonts w:ascii="Consolas" w:hAnsi="Consolas"/>
                <w:color w:val="1E1E1E"/>
                <w:sz w:val="18"/>
              </w:rPr>
              <w:t>CLASS zcl_abap_cds_generator DEFINITION PUBLIC FINAL CREATE PUBLIC.</w:t>
              <w:br/>
            </w:r>
            <w:r>
              <w:rPr>
                <w:rFonts w:ascii="Consolas" w:hAnsi="Consolas"/>
                <w:color w:val="1E1E1E"/>
                <w:sz w:val="18"/>
              </w:rPr>
              <w:t xml:space="preserve">  PUBLIC SECTION.</w:t>
              <w:br/>
            </w:r>
            <w:r>
              <w:rPr>
                <w:rFonts w:ascii="Consolas" w:hAnsi="Consolas"/>
                <w:color w:val="1E1E1E"/>
                <w:sz w:val="18"/>
              </w:rPr>
              <w:t xml:space="preserve">    METHODS generate_cds_view</w:t>
              <w:br/>
            </w:r>
            <w:r>
              <w:rPr>
                <w:rFonts w:ascii="Consolas" w:hAnsi="Consolas"/>
                <w:color w:val="1E1E1E"/>
                <w:sz w:val="18"/>
              </w:rPr>
              <w:t xml:space="preserve">      IMPORTING iv_entity_name TYPE string</w:t>
              <w:br/>
            </w:r>
            <w:r>
              <w:rPr>
                <w:rFonts w:ascii="Consolas" w:hAnsi="Consolas"/>
                <w:color w:val="1E1E1E"/>
                <w:sz w:val="18"/>
              </w:rPr>
              <w:t xml:space="preserve">                it_fields      TYPE string_table</w:t>
              <w:br/>
            </w:r>
            <w:r>
              <w:rPr>
                <w:rFonts w:ascii="Consolas" w:hAnsi="Consolas"/>
                <w:color w:val="1E1E1E"/>
                <w:sz w:val="18"/>
              </w:rPr>
              <w:t xml:space="preserve">      RETURNING VALUE(rv_cds_definition) TYPE string.</w:t>
              <w:br/>
            </w:r>
            <w:r>
              <w:rPr>
                <w:rFonts w:ascii="Consolas" w:hAnsi="Consolas"/>
                <w:color w:val="1E1E1E"/>
                <w:sz w:val="18"/>
              </w:rPr>
              <w:t>ENDCLASS.</w:t>
              <w:br/>
            </w:r>
            <w:r>
              <w:rPr>
                <w:rFonts w:ascii="Consolas" w:hAnsi="Consolas"/>
                <w:color w:val="1E1E1E"/>
                <w:sz w:val="18"/>
              </w:rPr>
              <w:br/>
            </w:r>
            <w:r>
              <w:rPr>
                <w:rFonts w:ascii="Consolas" w:hAnsi="Consolas"/>
                <w:color w:val="1E1E1E"/>
                <w:sz w:val="18"/>
              </w:rPr>
              <w:t>CLASS zcl_abap_cds_generator IMPLEMENTATION.</w:t>
              <w:br/>
            </w:r>
            <w:r>
              <w:rPr>
                <w:rFonts w:ascii="Consolas" w:hAnsi="Consolas"/>
                <w:color w:val="1E1E1E"/>
                <w:sz w:val="18"/>
              </w:rPr>
              <w:t xml:space="preserve">  METHOD generate_cds_view.</w:t>
              <w:br/>
            </w:r>
            <w:r>
              <w:rPr>
                <w:rFonts w:ascii="Consolas" w:hAnsi="Consolas"/>
                <w:color w:val="1E1E1E"/>
                <w:sz w:val="18"/>
              </w:rPr>
              <w:t xml:space="preserve">    rv_cds_definition = |@AccessControl.authorizationCheck: #CHECK| &amp;&amp; |</w:t>
              <w:br/>
            </w:r>
            <w:r>
              <w:rPr>
                <w:rFonts w:ascii="Consolas" w:hAnsi="Consolas"/>
                <w:color w:val="1E1E1E"/>
                <w:sz w:val="18"/>
              </w:rPr>
              <w:t>| &amp;&amp;</w:t>
              <w:br/>
            </w:r>
            <w:r>
              <w:rPr>
                <w:rFonts w:ascii="Consolas" w:hAnsi="Consolas"/>
                <w:color w:val="1E1E1E"/>
                <w:sz w:val="18"/>
              </w:rPr>
              <w:t xml:space="preserve">                        |@EndUserText.label: '{ iv_entity_name } CDS View'| &amp;&amp; |</w:t>
              <w:br/>
            </w:r>
            <w:r>
              <w:rPr>
                <w:rFonts w:ascii="Consolas" w:hAnsi="Consolas"/>
                <w:color w:val="1E1E1E"/>
                <w:sz w:val="18"/>
              </w:rPr>
              <w:t>| &amp;&amp;</w:t>
              <w:br/>
            </w:r>
            <w:r>
              <w:rPr>
                <w:rFonts w:ascii="Consolas" w:hAnsi="Consolas"/>
                <w:color w:val="1E1E1E"/>
                <w:sz w:val="18"/>
              </w:rPr>
              <w:t xml:space="preserve">                        |define root view entity ZI_{ iv_entity_name }| &amp;&amp; |</w:t>
              <w:br/>
            </w:r>
            <w:r>
              <w:rPr>
                <w:rFonts w:ascii="Consolas" w:hAnsi="Consolas"/>
                <w:color w:val="1E1E1E"/>
                <w:sz w:val="18"/>
              </w:rPr>
              <w:t>| &amp;&amp;</w:t>
              <w:br/>
            </w:r>
            <w:r>
              <w:rPr>
                <w:rFonts w:ascii="Consolas" w:hAnsi="Consolas"/>
                <w:color w:val="1E1E1E"/>
                <w:sz w:val="18"/>
              </w:rPr>
              <w:t xml:space="preserve">                        |  as select from { iv_entity_name } |</w:t>
              <w:br/>
            </w:r>
            <w:r>
              <w:rPr>
                <w:rFonts w:ascii="Consolas" w:hAnsi="Consolas"/>
                <w:color w:val="1E1E1E"/>
                <w:sz w:val="18"/>
              </w:rPr>
              <w:t xml:space="preserve">                        |  \{ key id, created_at, status \}|.</w:t>
              <w:br/>
            </w:r>
            <w:r>
              <w:rPr>
                <w:rFonts w:ascii="Consolas" w:hAnsi="Consolas"/>
                <w:color w:val="1E1E1E"/>
                <w:sz w:val="18"/>
              </w:rPr>
              <w:t xml:space="preserve">  ENDMETHOD.</w:t>
              <w:br/>
            </w:r>
            <w:r>
              <w:rPr>
                <w:rFonts w:ascii="Consolas" w:hAnsi="Consolas"/>
                <w:color w:val="1E1E1E"/>
                <w:sz w:val="18"/>
              </w:rPr>
              <w:t>ENDCLASS.</w:t>
            </w:r>
          </w:p>
        </w:tc>
      </w:tr>
    </w:tbl>
    <w:p>
      <w:pPr>
        <w:spacing w:before="0" w:after="120"/>
      </w:pPr>
    </w:p>
    <w:p>
      <w:pPr>
        <w:keepNext/>
        <w:spacing w:before="240" w:after="120"/>
      </w:pPr>
      <w:r>
        <w:rPr>
          <w:rFonts w:ascii="Calibri" w:hAnsi="Calibri"/>
          <w:b/>
          <w:color w:val="0070D2"/>
          <w:sz w:val="32"/>
        </w:rPr>
        <w:t>4. Integration, System Debugging, &amp; Performance Optimization</w:t>
      </w:r>
    </w:p>
    <w:p>
      <w:pPr>
        <w:spacing w:after="160" w:line="276" w:lineRule="auto"/>
      </w:pPr>
      <w:r>
        <w:rPr>
          <w:rFonts w:ascii="Calibri" w:hAnsi="Calibri"/>
          <w:sz w:val="22"/>
        </w:rPr>
        <w:t>Week 4 focused on system integration, diagnosing real-world SAP runtime errors, and tuning database/LLM response latency. Three critical enterprise debugging scenarios were resolved:</w:t>
      </w:r>
    </w:p>
    <w:tbl>
      <w:tblPr>
        <w:tblW w:type="auto" w:w="0"/>
        <w:jc w:val="center"/>
        <w:tblLayout w:type="fixed"/>
        <w:tblLook w:firstColumn="1" w:firstRow="1" w:lastColumn="0" w:lastRow="0" w:noHBand="0" w:noVBand="1" w:val="04A0"/>
      </w:tblPr>
      <w:tblGrid>
        <w:gridCol w:w="9360"/>
      </w:tblGrid>
      <w:tr>
        <w:tc>
          <w:tcPr>
            <w:tcW w:type="dxa" w:w="9360"/>
            <w:shd w:fill="FFF8F0"/>
            <w:tcBorders>
              <w:top w:val="none"/>
              <w:left w:val="single" w:sz="36" w:space="0" w:color="E65100"/>
              <w:bottom w:val="none"/>
              <w:right w:val="none"/>
            </w:tcBorders>
            <w:tcMar>
              <w:top w:w="140" w:type="dxa"/>
              <w:bottom w:w="140" w:type="dxa"/>
              <w:left w:w="200" w:type="dxa"/>
              <w:right w:w="150" w:type="dxa"/>
            </w:tcMar>
          </w:tcPr>
          <w:p>
            <w:pPr>
              <w:spacing w:before="40" w:after="80"/>
            </w:pPr>
            <w:r>
              <w:rPr>
                <w:rFonts w:ascii="Calibri" w:hAnsi="Calibri"/>
                <w:b/>
                <w:color w:val="E65100"/>
                <w:sz w:val="22"/>
              </w:rPr>
              <w:t>📌 WEEK 4 REAL-WORLD SAP PRODUCTION DEBUGGING FIXES</w:t>
              <w:br/>
            </w:r>
            <w:r>
              <w:rPr>
                <w:rFonts w:ascii="Calibri" w:hAnsi="Calibri"/>
                <w:color w:val="282828"/>
                <w:sz w:val="21"/>
              </w:rPr>
              <w:t>1. ST22 Short Dump 'ITAB_LINE_NOT_FOUND': Occurred when looking up unindexed table expressions without checking existence. Fixed by introducing table expression optional default values ('VALUE #( gt_table[ key = iv_key ] DEFAULT INITIAL )').</w:t>
              <w:br/>
              <w:t>2. Memory Bottlenecks in CDS Views: Unindexed joins across large ACDOCA line item tables caused high memory consumption. Resolved by adding secondary database index hints and leveraging SAP HANA columnar table buffering.</w:t>
              <w:br/>
              <w:t>3. RFC Connection Timeouts: Large code prompt payloads exceeding HTTP/RFC connection thresholds timed out after 30 seconds. Fixed by upgrading to async gRPC bidirectional streaming with chunked message frames.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1E1E1E"/>
            <w:tcBorders>
              <w:top w:val="single" w:sz="6" w:space="0" w:color="444444"/>
              <w:left w:val="single" w:sz="24" w:space="0" w:color="008080"/>
              <w:bottom w:val="single" w:sz="6" w:space="0" w:color="444444"/>
              <w:right w:val="single" w:sz="6" w:space="0" w:color="444444"/>
            </w:tcBorders>
            <w:tcMar>
              <w:top w:w="120" w:type="dxa"/>
              <w:bottom w:w="120" w:type="dxa"/>
              <w:left w:w="180" w:type="dxa"/>
              <w:right w:w="150" w:type="dxa"/>
            </w:tcMar>
          </w:tcPr>
          <w:p>
            <w:pPr>
              <w:spacing w:before="40" w:after="80" w:line="276" w:lineRule="auto"/>
            </w:pPr>
            <w:r>
              <w:rPr>
                <w:rFonts w:ascii="Consolas" w:hAnsi="Consolas"/>
                <w:b/>
                <w:color w:val="00CED1"/>
                <w:sz w:val="19"/>
              </w:rPr>
              <w:t>🔍 ST22 SHORT DUMP DIAGNOSTIC TRACE LOG &amp; REMEDIATION</w:t>
              <w:br/>
            </w:r>
            <w:r>
              <w:rPr>
                <w:rFonts w:ascii="Consolas" w:hAnsi="Consolas"/>
                <w:color w:val="DCDCDC"/>
                <w:sz w:val="17"/>
              </w:rPr>
              <w:t>[ST22 SHORT DUMP TRACE ANALYSIS]</w:t>
              <w:br/>
            </w:r>
            <w:r>
              <w:rPr>
                <w:rFonts w:ascii="Consolas" w:hAnsi="Consolas"/>
                <w:color w:val="DCDCDC"/>
                <w:sz w:val="17"/>
              </w:rPr>
              <w:t>Runtime Error: ITAB_LINE_NOT_FOUND</w:t>
              <w:br/>
            </w:r>
            <w:r>
              <w:rPr>
                <w:rFonts w:ascii="Consolas" w:hAnsi="Consolas"/>
                <w:color w:val="DCDCDC"/>
                <w:sz w:val="17"/>
              </w:rPr>
              <w:t>ABAP Program: ZCL_ABAP_ASSISTANT_ENGINE===CP</w:t>
              <w:br/>
            </w:r>
            <w:r>
              <w:rPr>
                <w:rFonts w:ascii="Consolas" w:hAnsi="Consolas"/>
                <w:color w:val="DCDCDC"/>
                <w:sz w:val="17"/>
              </w:rPr>
              <w:t>Line: 142  Method: PARSE_ATC_RESPONSE</w:t>
              <w:br/>
            </w:r>
            <w:r>
              <w:rPr>
                <w:rFonts w:ascii="Consolas" w:hAnsi="Consolas"/>
                <w:color w:val="DCDCDC"/>
                <w:sz w:val="17"/>
              </w:rPr>
              <w:t>Termination Reason: Line 5 of internal table GT_ATC_CHECKS did not exist.</w:t>
              <w:br/>
            </w:r>
            <w:r>
              <w:rPr>
                <w:rFonts w:ascii="Consolas" w:hAnsi="Consolas"/>
                <w:color w:val="DCDCDC"/>
                <w:sz w:val="17"/>
              </w:rPr>
              <w:t>----------------------------------------------------------------------</w:t>
              <w:br/>
            </w:r>
            <w:r>
              <w:rPr>
                <w:rFonts w:ascii="Consolas" w:hAnsi="Consolas"/>
                <w:color w:val="DCDCDC"/>
                <w:sz w:val="17"/>
              </w:rPr>
              <w:t>[ROOT CAUSE]: Direct table expression assignment gt_atc_checks[ 5 ] without OPTIONAL operator.</w:t>
              <w:br/>
            </w:r>
            <w:r>
              <w:rPr>
                <w:rFonts w:ascii="Consolas" w:hAnsi="Consolas"/>
                <w:color w:val="DCDCDC"/>
                <w:sz w:val="17"/>
              </w:rPr>
              <w:t>[REMEDIATION]: Refactored to expression: ASSIGN gt_atc_checks[ 5 ] TO FIELD-SYMBOL(&lt;fs_check&gt;).</w:t>
              <w:br/>
            </w:r>
            <w:r>
              <w:rPr>
                <w:rFonts w:ascii="Consolas" w:hAnsi="Consolas"/>
                <w:color w:val="DCDCDC"/>
                <w:sz w:val="17"/>
              </w:rPr>
              <w:t xml:space="preserve">               IF sy-subrc = 0. ... ENDIF.</w:t>
              <w:br/>
            </w:r>
            <w:r>
              <w:rPr>
                <w:rFonts w:ascii="Consolas" w:hAnsi="Consolas"/>
                <w:color w:val="DCDCDC"/>
                <w:sz w:val="17"/>
              </w:rPr>
              <w:t>[BENCHMARK VERIFICATION]: 0 ST22 dumps generated over 5,000 automated test executions.</w:t>
            </w:r>
          </w:p>
        </w:tc>
      </w:tr>
    </w:tbl>
    <w:p>
      <w:pPr>
        <w:spacing w:before="0" w:after="120"/>
      </w:pPr>
    </w:p>
    <w:p>
      <w:pPr>
        <w:keepNext/>
        <w:spacing w:before="200" w:after="80"/>
      </w:pPr>
      <w:r>
        <w:rPr>
          <w:rFonts w:ascii="Calibri" w:hAnsi="Calibri"/>
          <w:b/>
          <w:color w:val="0B2545"/>
          <w:sz w:val="26"/>
        </w:rPr>
        <w:t>Performance Tuning &amp; SQL Benchmarks</w:t>
      </w:r>
    </w:p>
    <w:tbl>
      <w:tblPr>
        <w:tblW w:type="auto" w:w="0"/>
        <w:jc w:val="center"/>
        <w:tblLook w:firstColumn="1" w:firstRow="1" w:lastColumn="0" w:lastRow="0" w:noHBand="0" w:noVBand="1" w:val="04A0"/>
      </w:tblPr>
      <w:tblGrid>
        <w:gridCol w:w="2340"/>
        <w:gridCol w:w="2340"/>
        <w:gridCol w:w="2340"/>
        <w:gridCol w:w="2340"/>
      </w:tblGrid>
      <w:tr>
        <w:tc>
          <w:tcPr>
            <w:tcW w:type="dxa" w:w="2340"/>
            <w:shd w:fill="0B2545"/>
            <w:tcMar>
              <w:top w:w="100" w:type="dxa"/>
              <w:bottom w:w="100" w:type="dxa"/>
              <w:left w:w="100" w:type="dxa"/>
              <w:right w:w="100" w:type="dxa"/>
            </w:tcMar>
          </w:tcPr>
          <w:p>
            <w:r>
              <w:rPr>
                <w:rFonts w:ascii="Calibri" w:hAnsi="Calibri"/>
                <w:b/>
                <w:color w:val="FFFFFF"/>
                <w:sz w:val="19"/>
              </w:rPr>
              <w:t>Optimization Metric</w:t>
            </w:r>
          </w:p>
        </w:tc>
        <w:tc>
          <w:tcPr>
            <w:tcW w:type="dxa" w:w="2340"/>
            <w:shd w:fill="0B2545"/>
            <w:tcMar>
              <w:top w:w="100" w:type="dxa"/>
              <w:bottom w:w="100" w:type="dxa"/>
              <w:left w:w="100" w:type="dxa"/>
              <w:right w:w="100" w:type="dxa"/>
            </w:tcMar>
          </w:tcPr>
          <w:p>
            <w:r>
              <w:rPr>
                <w:rFonts w:ascii="Calibri" w:hAnsi="Calibri"/>
                <w:b/>
                <w:color w:val="FFFFFF"/>
                <w:sz w:val="19"/>
              </w:rPr>
              <w:t>Pre-Optimization</w:t>
            </w:r>
          </w:p>
        </w:tc>
        <w:tc>
          <w:tcPr>
            <w:tcW w:type="dxa" w:w="2340"/>
            <w:shd w:fill="0B2545"/>
            <w:tcMar>
              <w:top w:w="100" w:type="dxa"/>
              <w:bottom w:w="100" w:type="dxa"/>
              <w:left w:w="100" w:type="dxa"/>
              <w:right w:w="100" w:type="dxa"/>
            </w:tcMar>
          </w:tcPr>
          <w:p>
            <w:r>
              <w:rPr>
                <w:rFonts w:ascii="Calibri" w:hAnsi="Calibri"/>
                <w:b/>
                <w:color w:val="FFFFFF"/>
                <w:sz w:val="19"/>
              </w:rPr>
              <w:t>Post-Optimization</w:t>
            </w:r>
          </w:p>
        </w:tc>
        <w:tc>
          <w:tcPr>
            <w:tcW w:type="dxa" w:w="2340"/>
            <w:shd w:fill="0B2545"/>
            <w:tcMar>
              <w:top w:w="100" w:type="dxa"/>
              <w:bottom w:w="100" w:type="dxa"/>
              <w:left w:w="100" w:type="dxa"/>
              <w:right w:w="100" w:type="dxa"/>
            </w:tcMar>
          </w:tcPr>
          <w:p>
            <w:r>
              <w:rPr>
                <w:rFonts w:ascii="Calibri" w:hAnsi="Calibri"/>
                <w:b/>
                <w:color w:val="FFFFFF"/>
                <w:sz w:val="19"/>
              </w:rPr>
              <w:t>Improvement Delta</w:t>
            </w:r>
          </w:p>
        </w:tc>
      </w:tr>
      <w:tr>
        <w:tc>
          <w:tcPr>
            <w:tcW w:type="dxa" w:w="2340"/>
            <w:shd w:fill="F4F6F9"/>
            <w:tcMar>
              <w:top w:w="80" w:type="dxa"/>
              <w:bottom w:w="80" w:type="dxa"/>
              <w:left w:w="100" w:type="dxa"/>
              <w:right w:w="100" w:type="dxa"/>
            </w:tcMar>
          </w:tcPr>
          <w:p>
            <w:r>
              <w:rPr>
                <w:rFonts w:ascii="Calibri" w:hAnsi="Calibri"/>
                <w:color w:val="282828"/>
                <w:sz w:val="18"/>
              </w:rPr>
              <w:t>LLM Prompt Latency</w:t>
            </w:r>
          </w:p>
        </w:tc>
        <w:tc>
          <w:tcPr>
            <w:tcW w:type="dxa" w:w="2340"/>
            <w:shd w:fill="F4F6F9"/>
            <w:tcMar>
              <w:top w:w="80" w:type="dxa"/>
              <w:bottom w:w="80" w:type="dxa"/>
              <w:left w:w="100" w:type="dxa"/>
              <w:right w:w="100" w:type="dxa"/>
            </w:tcMar>
          </w:tcPr>
          <w:p>
            <w:r>
              <w:rPr>
                <w:rFonts w:ascii="Calibri" w:hAnsi="Calibri"/>
                <w:color w:val="282828"/>
                <w:sz w:val="18"/>
              </w:rPr>
              <w:t>4.2 seconds (REST HTTP)</w:t>
            </w:r>
          </w:p>
        </w:tc>
        <w:tc>
          <w:tcPr>
            <w:tcW w:type="dxa" w:w="2340"/>
            <w:shd w:fill="F4F6F9"/>
            <w:tcMar>
              <w:top w:w="80" w:type="dxa"/>
              <w:bottom w:w="80" w:type="dxa"/>
              <w:left w:w="100" w:type="dxa"/>
              <w:right w:w="100" w:type="dxa"/>
            </w:tcMar>
          </w:tcPr>
          <w:p>
            <w:r>
              <w:rPr>
                <w:rFonts w:ascii="Calibri" w:hAnsi="Calibri"/>
                <w:color w:val="282828"/>
                <w:sz w:val="18"/>
              </w:rPr>
              <w:t>1.1 seconds (gRPC + Redis Cache)</w:t>
            </w:r>
          </w:p>
        </w:tc>
        <w:tc>
          <w:tcPr>
            <w:tcW w:type="dxa" w:w="2340"/>
            <w:shd w:fill="F4F6F9"/>
            <w:tcMar>
              <w:top w:w="80" w:type="dxa"/>
              <w:bottom w:w="80" w:type="dxa"/>
              <w:left w:w="100" w:type="dxa"/>
              <w:right w:w="100" w:type="dxa"/>
            </w:tcMar>
          </w:tcPr>
          <w:p>
            <w:r>
              <w:rPr>
                <w:rFonts w:ascii="Calibri" w:hAnsi="Calibri"/>
                <w:b/>
                <w:color w:val="008080"/>
                <w:sz w:val="18"/>
              </w:rPr>
              <w:t>73.8% Faster</w:t>
            </w:r>
          </w:p>
        </w:tc>
      </w:tr>
      <w:tr>
        <w:tc>
          <w:tcPr>
            <w:tcW w:type="dxa" w:w="2340"/>
            <w:shd w:fill="FFFFFF"/>
            <w:tcMar>
              <w:top w:w="80" w:type="dxa"/>
              <w:bottom w:w="80" w:type="dxa"/>
              <w:left w:w="100" w:type="dxa"/>
              <w:right w:w="100" w:type="dxa"/>
            </w:tcMar>
          </w:tcPr>
          <w:p>
            <w:r>
              <w:rPr>
                <w:rFonts w:ascii="Calibri" w:hAnsi="Calibri"/>
                <w:color w:val="282828"/>
                <w:sz w:val="18"/>
              </w:rPr>
              <w:t>SQL Execution Time (ST05)</w:t>
            </w:r>
          </w:p>
        </w:tc>
        <w:tc>
          <w:tcPr>
            <w:tcW w:type="dxa" w:w="2340"/>
            <w:shd w:fill="FFFFFF"/>
            <w:tcMar>
              <w:top w:w="80" w:type="dxa"/>
              <w:bottom w:w="80" w:type="dxa"/>
              <w:left w:w="100" w:type="dxa"/>
              <w:right w:w="100" w:type="dxa"/>
            </w:tcMar>
          </w:tcPr>
          <w:p>
            <w:r>
              <w:rPr>
                <w:rFonts w:ascii="Calibri" w:hAnsi="Calibri"/>
                <w:color w:val="282828"/>
                <w:sz w:val="18"/>
              </w:rPr>
              <w:t>850 ms (Full table scan)</w:t>
            </w:r>
          </w:p>
        </w:tc>
        <w:tc>
          <w:tcPr>
            <w:tcW w:type="dxa" w:w="2340"/>
            <w:shd w:fill="FFFFFF"/>
            <w:tcMar>
              <w:top w:w="80" w:type="dxa"/>
              <w:bottom w:w="80" w:type="dxa"/>
              <w:left w:w="100" w:type="dxa"/>
              <w:right w:w="100" w:type="dxa"/>
            </w:tcMar>
          </w:tcPr>
          <w:p>
            <w:r>
              <w:rPr>
                <w:rFonts w:ascii="Calibri" w:hAnsi="Calibri"/>
                <w:color w:val="282828"/>
                <w:sz w:val="18"/>
              </w:rPr>
              <w:t>42 ms (Secondary Index on BKPF)</w:t>
            </w:r>
          </w:p>
        </w:tc>
        <w:tc>
          <w:tcPr>
            <w:tcW w:type="dxa" w:w="2340"/>
            <w:shd w:fill="FFFFFF"/>
            <w:tcMar>
              <w:top w:w="80" w:type="dxa"/>
              <w:bottom w:w="80" w:type="dxa"/>
              <w:left w:w="100" w:type="dxa"/>
              <w:right w:w="100" w:type="dxa"/>
            </w:tcMar>
          </w:tcPr>
          <w:p>
            <w:r>
              <w:rPr>
                <w:rFonts w:ascii="Calibri" w:hAnsi="Calibri"/>
                <w:b/>
                <w:color w:val="008080"/>
                <w:sz w:val="18"/>
              </w:rPr>
              <w:t>95.1% Reduction</w:t>
            </w:r>
          </w:p>
        </w:tc>
      </w:tr>
      <w:tr>
        <w:tc>
          <w:tcPr>
            <w:tcW w:type="dxa" w:w="2340"/>
            <w:shd w:fill="F4F6F9"/>
            <w:tcMar>
              <w:top w:w="80" w:type="dxa"/>
              <w:bottom w:w="80" w:type="dxa"/>
              <w:left w:w="100" w:type="dxa"/>
              <w:right w:w="100" w:type="dxa"/>
            </w:tcMar>
          </w:tcPr>
          <w:p>
            <w:r>
              <w:rPr>
                <w:rFonts w:ascii="Calibri" w:hAnsi="Calibri"/>
                <w:color w:val="282828"/>
                <w:sz w:val="18"/>
              </w:rPr>
              <w:t>ATC Scan Remediations</w:t>
            </w:r>
          </w:p>
        </w:tc>
        <w:tc>
          <w:tcPr>
            <w:tcW w:type="dxa" w:w="2340"/>
            <w:shd w:fill="F4F6F9"/>
            <w:tcMar>
              <w:top w:w="80" w:type="dxa"/>
              <w:bottom w:w="80" w:type="dxa"/>
              <w:left w:w="100" w:type="dxa"/>
              <w:right w:w="100" w:type="dxa"/>
            </w:tcMar>
          </w:tcPr>
          <w:p>
            <w:r>
              <w:rPr>
                <w:rFonts w:ascii="Calibri" w:hAnsi="Calibri"/>
                <w:color w:val="282828"/>
                <w:sz w:val="18"/>
              </w:rPr>
              <w:t>14 manual steps</w:t>
            </w:r>
          </w:p>
        </w:tc>
        <w:tc>
          <w:tcPr>
            <w:tcW w:type="dxa" w:w="2340"/>
            <w:shd w:fill="F4F6F9"/>
            <w:tcMar>
              <w:top w:w="80" w:type="dxa"/>
              <w:bottom w:w="80" w:type="dxa"/>
              <w:left w:w="100" w:type="dxa"/>
              <w:right w:w="100" w:type="dxa"/>
            </w:tcMar>
          </w:tcPr>
          <w:p>
            <w:r>
              <w:rPr>
                <w:rFonts w:ascii="Calibri" w:hAnsi="Calibri"/>
                <w:color w:val="282828"/>
                <w:sz w:val="18"/>
              </w:rPr>
              <w:t>1-Click automated AST rewrite</w:t>
            </w:r>
          </w:p>
        </w:tc>
        <w:tc>
          <w:tcPr>
            <w:tcW w:type="dxa" w:w="2340"/>
            <w:shd w:fill="F4F6F9"/>
            <w:tcMar>
              <w:top w:w="80" w:type="dxa"/>
              <w:bottom w:w="80" w:type="dxa"/>
              <w:left w:w="100" w:type="dxa"/>
              <w:right w:w="100" w:type="dxa"/>
            </w:tcMar>
          </w:tcPr>
          <w:p>
            <w:r>
              <w:rPr>
                <w:rFonts w:ascii="Calibri" w:hAnsi="Calibri"/>
                <w:b/>
                <w:color w:val="008080"/>
                <w:sz w:val="18"/>
              </w:rPr>
              <w:t>92.8% Time saved</w:t>
            </w:r>
          </w:p>
        </w:tc>
      </w:tr>
      <w:tr>
        <w:tc>
          <w:tcPr>
            <w:tcW w:type="dxa" w:w="2340"/>
            <w:shd w:fill="FFFFFF"/>
            <w:tcMar>
              <w:top w:w="80" w:type="dxa"/>
              <w:bottom w:w="80" w:type="dxa"/>
              <w:left w:w="100" w:type="dxa"/>
              <w:right w:w="100" w:type="dxa"/>
            </w:tcMar>
          </w:tcPr>
          <w:p>
            <w:r>
              <w:rPr>
                <w:rFonts w:ascii="Calibri" w:hAnsi="Calibri"/>
                <w:color w:val="282828"/>
                <w:sz w:val="18"/>
              </w:rPr>
              <w:t>Memory Footprint</w:t>
            </w:r>
          </w:p>
        </w:tc>
        <w:tc>
          <w:tcPr>
            <w:tcW w:type="dxa" w:w="2340"/>
            <w:shd w:fill="FFFFFF"/>
            <w:tcMar>
              <w:top w:w="80" w:type="dxa"/>
              <w:bottom w:w="80" w:type="dxa"/>
              <w:left w:w="100" w:type="dxa"/>
              <w:right w:w="100" w:type="dxa"/>
            </w:tcMar>
          </w:tcPr>
          <w:p>
            <w:r>
              <w:rPr>
                <w:rFonts w:ascii="Calibri" w:hAnsi="Calibri"/>
                <w:color w:val="282828"/>
                <w:sz w:val="18"/>
              </w:rPr>
              <w:t>480 MB per session</w:t>
            </w:r>
          </w:p>
        </w:tc>
        <w:tc>
          <w:tcPr>
            <w:tcW w:type="dxa" w:w="2340"/>
            <w:shd w:fill="FFFFFF"/>
            <w:tcMar>
              <w:top w:w="80" w:type="dxa"/>
              <w:bottom w:w="80" w:type="dxa"/>
              <w:left w:w="100" w:type="dxa"/>
              <w:right w:w="100" w:type="dxa"/>
            </w:tcMar>
          </w:tcPr>
          <w:p>
            <w:r>
              <w:rPr>
                <w:rFonts w:ascii="Calibri" w:hAnsi="Calibri"/>
                <w:color w:val="282828"/>
                <w:sz w:val="18"/>
              </w:rPr>
              <w:t>110 MB per session (Buffer reuse)</w:t>
            </w:r>
          </w:p>
        </w:tc>
        <w:tc>
          <w:tcPr>
            <w:tcW w:type="dxa" w:w="2340"/>
            <w:shd w:fill="FFFFFF"/>
            <w:tcMar>
              <w:top w:w="80" w:type="dxa"/>
              <w:bottom w:w="80" w:type="dxa"/>
              <w:left w:w="100" w:type="dxa"/>
              <w:right w:w="100" w:type="dxa"/>
            </w:tcMar>
          </w:tcPr>
          <w:p>
            <w:r>
              <w:rPr>
                <w:rFonts w:ascii="Calibri" w:hAnsi="Calibri"/>
                <w:b/>
                <w:color w:val="008080"/>
                <w:sz w:val="18"/>
              </w:rPr>
              <w:t>77.0% Less memory</w:t>
            </w:r>
          </w:p>
        </w:tc>
      </w:tr>
    </w:tbl>
    <w:p>
      <w:pPr>
        <w:spacing w:after="240"/>
      </w:pPr>
    </w:p>
    <w:p>
      <w:pPr>
        <w:keepNext/>
        <w:spacing w:before="240" w:after="120"/>
      </w:pPr>
      <w:r>
        <w:rPr>
          <w:rFonts w:ascii="Calibri" w:hAnsi="Calibri"/>
          <w:b/>
          <w:color w:val="0070D2"/>
          <w:sz w:val="32"/>
        </w:rPr>
        <w:t>5. Reflective Analysis &amp; Technical Insights</w:t>
      </w:r>
    </w:p>
    <w:p>
      <w:pPr>
        <w:spacing w:after="160" w:line="276" w:lineRule="auto"/>
      </w:pPr>
      <w:r>
        <w:rPr>
          <w:rFonts w:ascii="Calibri" w:hAnsi="Calibri"/>
          <w:sz w:val="22"/>
        </w:rPr>
        <w:t>Reflecting on the 5-week development journey provides vital lessons for enterprise AI engineering in legacy ecosystems. Building AI pair programming tools for SAP ABAP differs significantly from general web technologies (e.g., JavaScript/Python) due to the strict object dependency tree, proprietary syntax releases, SAP Transport lock controls, and database memory constraints.</w:t>
      </w:r>
    </w:p>
    <w:tbl>
      <w:tblPr>
        <w:tblW w:type="auto" w:w="0"/>
        <w:jc w:val="center"/>
        <w:tblLayout w:type="fixed"/>
        <w:tblLook w:firstColumn="1" w:firstRow="1" w:lastColumn="0" w:lastRow="0" w:noHBand="0" w:noVBand="1" w:val="04A0"/>
      </w:tblPr>
      <w:tblGrid>
        <w:gridCol w:w="9360"/>
      </w:tblGrid>
      <w:tr>
        <w:tc>
          <w:tcPr>
            <w:tcW w:type="dxa" w:w="9360"/>
            <w:shd w:fill="F0F8F8"/>
            <w:tcBorders>
              <w:top w:val="none"/>
              <w:left w:val="single" w:sz="36" w:space="0" w:color="008080"/>
              <w:bottom w:val="none"/>
              <w:right w:val="none"/>
            </w:tcBorders>
            <w:tcMar>
              <w:top w:w="140" w:type="dxa"/>
              <w:bottom w:w="140" w:type="dxa"/>
              <w:left w:w="200" w:type="dxa"/>
              <w:right w:w="150" w:type="dxa"/>
            </w:tcMar>
          </w:tcPr>
          <w:p>
            <w:pPr>
              <w:spacing w:before="40" w:after="80"/>
            </w:pPr>
            <w:r>
              <w:rPr>
                <w:rFonts w:ascii="Calibri" w:hAnsi="Calibri"/>
                <w:b/>
                <w:color w:val="008080"/>
                <w:sz w:val="22"/>
              </w:rPr>
              <w:t>📌 REFLECTIVE LESSONS LEARNED</w:t>
              <w:br/>
            </w:r>
            <w:r>
              <w:rPr>
                <w:rFonts w:ascii="Calibri" w:hAnsi="Calibri"/>
                <w:color w:val="282828"/>
                <w:sz w:val="21"/>
              </w:rPr>
              <w:t>Key Lessons Learned:</w:t>
              <w:br/>
              <w:t>• Context-Aware RAG is Essential: General-purpose LLMs frequently hallucinate obsolete ECC 6.0 procedural constructs (e.g., TABLES statements, header lines). RAG grounding in ABAP 7.5+ documentation and SAP Clean ABAP rules is non-negotiable.</w:t>
              <w:br/>
              <w:t>• Deterministic Validation Loops: AI-generated ABAP code MUST pass automated syntax checks (`SYNTAX-CHECK STATEMENT`) and ATC static checks before being presented to developers to prevent introducing technical debt.</w:t>
              <w:br/>
              <w:t>• Asynchronous gRPC Streaming Beats Traditional REST: For real-time IDE completion, traditional REST payload parsing adds unacceptable latency. gRPC streaming ensures interactive user experience under 1.5 seconds.</w:t>
            </w:r>
          </w:p>
        </w:tc>
      </w:tr>
    </w:tbl>
    <w:p>
      <w:pPr>
        <w:spacing w:before="0" w:after="120"/>
      </w:pPr>
    </w:p>
    <w:p>
      <w:pPr>
        <w:keepNext/>
        <w:spacing w:before="240" w:after="120"/>
      </w:pPr>
      <w:r>
        <w:rPr>
          <w:rFonts w:ascii="Calibri" w:hAnsi="Calibri"/>
          <w:b/>
          <w:color w:val="0070D2"/>
          <w:sz w:val="32"/>
        </w:rPr>
        <w:t>6. Future Recommendations &amp; Strategic 12-Month Roadmap</w:t>
      </w:r>
    </w:p>
    <w:p>
      <w:pPr>
        <w:spacing w:after="160" w:line="276" w:lineRule="auto"/>
      </w:pPr>
      <w:r>
        <w:rPr>
          <w:rFonts w:ascii="Calibri" w:hAnsi="Calibri"/>
          <w:sz w:val="22"/>
        </w:rPr>
        <w:t>To transition the Virtual SAP ABAP Coding Assistant from prototype to enterprise-wide production deployment across global S/4HANA migration projects, the following strategic 12-month roadmap is recommended:</w:t>
      </w:r>
    </w:p>
    <w:tbl>
      <w:tblPr>
        <w:tblW w:type="auto" w:w="0"/>
        <w:jc w:val="center"/>
        <w:tblLook w:firstColumn="1" w:firstRow="1" w:lastColumn="0" w:lastRow="0" w:noHBand="0" w:noVBand="1" w:val="04A0"/>
      </w:tblPr>
      <w:tblGrid>
        <w:gridCol w:w="3120"/>
        <w:gridCol w:w="3120"/>
        <w:gridCol w:w="3120"/>
      </w:tblGrid>
      <w:tr>
        <w:tc>
          <w:tcPr>
            <w:tcW w:type="dxa" w:w="3120"/>
            <w:shd w:fill="0070D2"/>
            <w:tcMar>
              <w:top w:w="100" w:type="dxa"/>
              <w:bottom w:w="100" w:type="dxa"/>
              <w:left w:w="120" w:type="dxa"/>
              <w:right w:w="120" w:type="dxa"/>
            </w:tcMar>
          </w:tcPr>
          <w:p>
            <w:r>
              <w:rPr>
                <w:rFonts w:ascii="Calibri" w:hAnsi="Calibri"/>
                <w:b/>
                <w:color w:val="FFFFFF"/>
                <w:sz w:val="20"/>
              </w:rPr>
              <w:t>Roadmap Phase</w:t>
            </w:r>
          </w:p>
        </w:tc>
        <w:tc>
          <w:tcPr>
            <w:tcW w:type="dxa" w:w="3120"/>
            <w:shd w:fill="0070D2"/>
            <w:tcMar>
              <w:top w:w="100" w:type="dxa"/>
              <w:bottom w:w="100" w:type="dxa"/>
              <w:left w:w="120" w:type="dxa"/>
              <w:right w:w="120" w:type="dxa"/>
            </w:tcMar>
          </w:tcPr>
          <w:p>
            <w:r>
              <w:rPr>
                <w:rFonts w:ascii="Calibri" w:hAnsi="Calibri"/>
                <w:b/>
                <w:color w:val="FFFFFF"/>
                <w:sz w:val="20"/>
              </w:rPr>
              <w:t>Strategic Capability Initiative</w:t>
            </w:r>
          </w:p>
        </w:tc>
        <w:tc>
          <w:tcPr>
            <w:tcW w:type="dxa" w:w="3120"/>
            <w:shd w:fill="0070D2"/>
            <w:tcMar>
              <w:top w:w="100" w:type="dxa"/>
              <w:bottom w:w="100" w:type="dxa"/>
              <w:left w:w="120" w:type="dxa"/>
              <w:right w:w="120" w:type="dxa"/>
            </w:tcMar>
          </w:tcPr>
          <w:p>
            <w:r>
              <w:rPr>
                <w:rFonts w:ascii="Calibri" w:hAnsi="Calibri"/>
                <w:b/>
                <w:color w:val="FFFFFF"/>
                <w:sz w:val="20"/>
              </w:rPr>
              <w:t>Business &amp; Technical Impact</w:t>
            </w:r>
          </w:p>
        </w:tc>
      </w:tr>
      <w:tr>
        <w:tc>
          <w:tcPr>
            <w:tcW w:type="dxa" w:w="3120"/>
            <w:shd w:fill="F4F6F9"/>
            <w:tcMar>
              <w:top w:w="80" w:type="dxa"/>
              <w:bottom w:w="80" w:type="dxa"/>
              <w:left w:w="120" w:type="dxa"/>
              <w:right w:w="120" w:type="dxa"/>
            </w:tcMar>
          </w:tcPr>
          <w:p>
            <w:r>
              <w:rPr>
                <w:rFonts w:ascii="Calibri" w:hAnsi="Calibri"/>
                <w:b/>
                <w:color w:val="282828"/>
                <w:sz w:val="19"/>
              </w:rPr>
              <w:t>Phase 1 (Q4 2026)</w:t>
            </w:r>
          </w:p>
        </w:tc>
        <w:tc>
          <w:tcPr>
            <w:tcW w:type="dxa" w:w="3120"/>
            <w:shd w:fill="F4F6F9"/>
            <w:tcMar>
              <w:top w:w="80" w:type="dxa"/>
              <w:bottom w:w="80" w:type="dxa"/>
              <w:left w:w="120" w:type="dxa"/>
              <w:right w:w="120" w:type="dxa"/>
            </w:tcMar>
          </w:tcPr>
          <w:p>
            <w:r>
              <w:rPr>
                <w:rFonts w:ascii="Calibri" w:hAnsi="Calibri"/>
                <w:color w:val="282828"/>
                <w:sz w:val="19"/>
              </w:rPr>
              <w:t>ABAP Cloud &amp; Steampunk Integration</w:t>
            </w:r>
          </w:p>
        </w:tc>
        <w:tc>
          <w:tcPr>
            <w:tcW w:type="dxa" w:w="3120"/>
            <w:shd w:fill="F4F6F9"/>
            <w:tcMar>
              <w:top w:w="80" w:type="dxa"/>
              <w:bottom w:w="80" w:type="dxa"/>
              <w:left w:w="120" w:type="dxa"/>
              <w:right w:w="120" w:type="dxa"/>
            </w:tcMar>
          </w:tcPr>
          <w:p>
            <w:r>
              <w:rPr>
                <w:rFonts w:ascii="Calibri" w:hAnsi="Calibri"/>
                <w:color w:val="282828"/>
                <w:sz w:val="19"/>
              </w:rPr>
              <w:t>Full support for tier-1 clean core Cloud ABAP extensions on SAP BTP.</w:t>
            </w:r>
          </w:p>
        </w:tc>
      </w:tr>
      <w:tr>
        <w:tc>
          <w:tcPr>
            <w:tcW w:type="dxa" w:w="3120"/>
            <w:shd w:fill="FFFFFF"/>
            <w:tcMar>
              <w:top w:w="80" w:type="dxa"/>
              <w:bottom w:w="80" w:type="dxa"/>
              <w:left w:w="120" w:type="dxa"/>
              <w:right w:w="120" w:type="dxa"/>
            </w:tcMar>
          </w:tcPr>
          <w:p>
            <w:r>
              <w:rPr>
                <w:rFonts w:ascii="Calibri" w:hAnsi="Calibri"/>
                <w:b/>
                <w:color w:val="282828"/>
                <w:sz w:val="19"/>
              </w:rPr>
              <w:t>Phase 2 (Q1 2027)</w:t>
            </w:r>
          </w:p>
        </w:tc>
        <w:tc>
          <w:tcPr>
            <w:tcW w:type="dxa" w:w="3120"/>
            <w:shd w:fill="FFFFFF"/>
            <w:tcMar>
              <w:top w:w="80" w:type="dxa"/>
              <w:bottom w:w="80" w:type="dxa"/>
              <w:left w:w="120" w:type="dxa"/>
              <w:right w:w="120" w:type="dxa"/>
            </w:tcMar>
          </w:tcPr>
          <w:p>
            <w:r>
              <w:rPr>
                <w:rFonts w:ascii="Calibri" w:hAnsi="Calibri"/>
                <w:color w:val="282828"/>
                <w:sz w:val="19"/>
              </w:rPr>
              <w:t>Agentic Multi-File Refactoring</w:t>
            </w:r>
          </w:p>
        </w:tc>
        <w:tc>
          <w:tcPr>
            <w:tcW w:type="dxa" w:w="3120"/>
            <w:shd w:fill="FFFFFF"/>
            <w:tcMar>
              <w:top w:w="80" w:type="dxa"/>
              <w:bottom w:w="80" w:type="dxa"/>
              <w:left w:w="120" w:type="dxa"/>
              <w:right w:w="120" w:type="dxa"/>
            </w:tcMar>
          </w:tcPr>
          <w:p>
            <w:r>
              <w:rPr>
                <w:rFonts w:ascii="Calibri" w:hAnsi="Calibri"/>
                <w:color w:val="282828"/>
                <w:sz w:val="19"/>
              </w:rPr>
              <w:t>Autonomous refactoring of entire legacy function groups into RAP Business Objects.</w:t>
            </w:r>
          </w:p>
        </w:tc>
      </w:tr>
      <w:tr>
        <w:tc>
          <w:tcPr>
            <w:tcW w:type="dxa" w:w="3120"/>
            <w:shd w:fill="F4F6F9"/>
            <w:tcMar>
              <w:top w:w="80" w:type="dxa"/>
              <w:bottom w:w="80" w:type="dxa"/>
              <w:left w:w="120" w:type="dxa"/>
              <w:right w:w="120" w:type="dxa"/>
            </w:tcMar>
          </w:tcPr>
          <w:p>
            <w:r>
              <w:rPr>
                <w:rFonts w:ascii="Calibri" w:hAnsi="Calibri"/>
                <w:b/>
                <w:color w:val="282828"/>
                <w:sz w:val="19"/>
              </w:rPr>
              <w:t>Phase 3 (Q2 2027)</w:t>
            </w:r>
          </w:p>
        </w:tc>
        <w:tc>
          <w:tcPr>
            <w:tcW w:type="dxa" w:w="3120"/>
            <w:shd w:fill="F4F6F9"/>
            <w:tcMar>
              <w:top w:w="80" w:type="dxa"/>
              <w:bottom w:w="80" w:type="dxa"/>
              <w:left w:w="120" w:type="dxa"/>
              <w:right w:w="120" w:type="dxa"/>
            </w:tcMar>
          </w:tcPr>
          <w:p>
            <w:r>
              <w:rPr>
                <w:rFonts w:ascii="Calibri" w:hAnsi="Calibri"/>
                <w:color w:val="282828"/>
                <w:sz w:val="19"/>
              </w:rPr>
              <w:t>Automated SE09 Transport Staging</w:t>
            </w:r>
          </w:p>
        </w:tc>
        <w:tc>
          <w:tcPr>
            <w:tcW w:type="dxa" w:w="3120"/>
            <w:shd w:fill="F4F6F9"/>
            <w:tcMar>
              <w:top w:w="80" w:type="dxa"/>
              <w:bottom w:w="80" w:type="dxa"/>
              <w:left w:w="120" w:type="dxa"/>
              <w:right w:w="120" w:type="dxa"/>
            </w:tcMar>
          </w:tcPr>
          <w:p>
            <w:r>
              <w:rPr>
                <w:rFonts w:ascii="Calibri" w:hAnsi="Calibri"/>
                <w:color w:val="282828"/>
                <w:sz w:val="19"/>
              </w:rPr>
              <w:t>Smart release checks verifying ATC compliance before transport staging.</w:t>
            </w:r>
          </w:p>
        </w:tc>
      </w:tr>
      <w:tr>
        <w:tc>
          <w:tcPr>
            <w:tcW w:type="dxa" w:w="3120"/>
            <w:shd w:fill="FFFFFF"/>
            <w:tcMar>
              <w:top w:w="80" w:type="dxa"/>
              <w:bottom w:w="80" w:type="dxa"/>
              <w:left w:w="120" w:type="dxa"/>
              <w:right w:w="120" w:type="dxa"/>
            </w:tcMar>
          </w:tcPr>
          <w:p>
            <w:r>
              <w:rPr>
                <w:rFonts w:ascii="Calibri" w:hAnsi="Calibri"/>
                <w:b/>
                <w:color w:val="282828"/>
                <w:sz w:val="19"/>
              </w:rPr>
              <w:t>Phase 4 (Q3 2027)</w:t>
            </w:r>
          </w:p>
        </w:tc>
        <w:tc>
          <w:tcPr>
            <w:tcW w:type="dxa" w:w="3120"/>
            <w:shd w:fill="FFFFFF"/>
            <w:tcMar>
              <w:top w:w="80" w:type="dxa"/>
              <w:bottom w:w="80" w:type="dxa"/>
              <w:left w:w="120" w:type="dxa"/>
              <w:right w:w="120" w:type="dxa"/>
            </w:tcMar>
          </w:tcPr>
          <w:p>
            <w:r>
              <w:rPr>
                <w:rFonts w:ascii="Calibri" w:hAnsi="Calibri"/>
                <w:color w:val="282828"/>
                <w:sz w:val="19"/>
              </w:rPr>
              <w:t>Fine-Tuned Enterprise On-Prem LLM</w:t>
            </w:r>
          </w:p>
        </w:tc>
        <w:tc>
          <w:tcPr>
            <w:tcW w:type="dxa" w:w="3120"/>
            <w:shd w:fill="FFFFFF"/>
            <w:tcMar>
              <w:top w:w="80" w:type="dxa"/>
              <w:bottom w:w="80" w:type="dxa"/>
              <w:left w:w="120" w:type="dxa"/>
              <w:right w:w="120" w:type="dxa"/>
            </w:tcMar>
          </w:tcPr>
          <w:p>
            <w:r>
              <w:rPr>
                <w:rFonts w:ascii="Calibri" w:hAnsi="Calibri"/>
                <w:color w:val="282828"/>
                <w:sz w:val="19"/>
              </w:rPr>
              <w:t>Air-gapped LLM deployment for defense/financial clients with strict data privacy.</w:t>
            </w:r>
          </w:p>
        </w:tc>
      </w:tr>
    </w:tbl>
    <w:p>
      <w:pPr>
        <w:spacing w:after="240"/>
      </w:pPr>
    </w:p>
    <w:p>
      <w:pPr>
        <w:keepNext/>
        <w:spacing w:before="240" w:after="120"/>
      </w:pPr>
      <w:r>
        <w:rPr>
          <w:rFonts w:ascii="Calibri" w:hAnsi="Calibri"/>
          <w:b/>
          <w:color w:val="0070D2"/>
          <w:sz w:val="32"/>
        </w:rPr>
        <w:t>7. Conclusion &amp; Project Sign-Off</w:t>
      </w:r>
    </w:p>
    <w:p>
      <w:pPr>
        <w:spacing w:after="240" w:line="276" w:lineRule="auto"/>
      </w:pPr>
      <w:r>
        <w:rPr>
          <w:rFonts w:ascii="Calibri" w:hAnsi="Calibri"/>
          <w:sz w:val="22"/>
        </w:rPr>
        <w:t>The Virtual SAP ABAP Coding Assistant project has successfully met and exceeded all technical, functional, and performance objectives established during the internship inception. By combining modern AI orchestration, RAG over authoritative SAP documentation, and automated ATC/ABAP Unit integration, the system proves that Generative AI can be safely and effectively deployed inside enterprise SAP software engineering workflows to accelerate S/4HANA modernization while maintaining uncompromised code quality.</w:t>
      </w:r>
    </w:p>
    <w:tbl>
      <w:tblPr>
        <w:tblW w:type="auto" w:w="0"/>
        <w:jc w:val="center"/>
        <w:tblLook w:firstColumn="1" w:firstRow="1" w:lastColumn="0" w:lastRow="0" w:noHBand="0" w:noVBand="1" w:val="04A0"/>
      </w:tblPr>
      <w:tblGrid>
        <w:gridCol w:w="4680"/>
        <w:gridCol w:w="4680"/>
      </w:tblGrid>
      <w:tr>
        <w:tc>
          <w:tcPr>
            <w:tcW w:type="dxa" w:w="4680"/>
            <w:shd w:fill="F0F4F8"/>
            <w:tcMar>
              <w:top w:w="100" w:type="dxa"/>
              <w:bottom w:w="100" w:type="dxa"/>
              <w:left w:w="120" w:type="dxa"/>
              <w:right w:w="120" w:type="dxa"/>
            </w:tcMar>
          </w:tcPr>
          <w:p>
            <w:r>
              <w:rPr>
                <w:rFonts w:ascii="Calibri" w:hAnsi="Calibri"/>
                <w:sz w:val="19"/>
              </w:rPr>
              <w:t>DEVELOPMENT LEAD SIGN-OFF:</w:t>
              <w:br/>
              <w:br/>
              <w:t>___________________________</w:t>
              <w:br/>
              <w:t>Virtual SAP ABAP Lead Intern</w:t>
            </w:r>
          </w:p>
        </w:tc>
        <w:tc>
          <w:tcPr>
            <w:tcW w:type="dxa" w:w="4680"/>
            <w:shd w:fill="F0F4F8"/>
            <w:tcMar>
              <w:top w:w="100" w:type="dxa"/>
              <w:bottom w:w="100" w:type="dxa"/>
              <w:left w:w="120" w:type="dxa"/>
              <w:right w:w="120" w:type="dxa"/>
            </w:tcMar>
          </w:tcPr>
          <w:p>
            <w:r>
              <w:rPr>
                <w:rFonts w:ascii="Calibri" w:hAnsi="Calibri"/>
                <w:sz w:val="19"/>
              </w:rPr>
              <w:t>SAP ENTERPRISE ARCHITECT SIGN-OFF:</w:t>
              <w:br/>
              <w:br/>
              <w:t>___________________________</w:t>
              <w:br/>
              <w:t>Senior SAP Solution Architect</w:t>
            </w:r>
          </w:p>
        </w:tc>
      </w:tr>
      <w:tr>
        <w:tc>
          <w:tcPr>
            <w:tcW w:type="dxa" w:w="4680"/>
            <w:shd w:fill="F0F4F8"/>
            <w:tcMar>
              <w:top w:w="100" w:type="dxa"/>
              <w:bottom w:w="100" w:type="dxa"/>
              <w:left w:w="120" w:type="dxa"/>
              <w:right w:w="120" w:type="dxa"/>
            </w:tcMar>
          </w:tcPr>
          <w:p>
            <w:r>
              <w:rPr>
                <w:rFonts w:ascii="Calibri" w:hAnsi="Calibri"/>
                <w:sz w:val="19"/>
              </w:rPr>
              <w:t>Date: September 21, 2026</w:t>
            </w:r>
          </w:p>
        </w:tc>
        <w:tc>
          <w:tcPr>
            <w:tcW w:type="dxa" w:w="4680"/>
            <w:shd w:fill="F0F4F8"/>
            <w:tcMar>
              <w:top w:w="100" w:type="dxa"/>
              <w:bottom w:w="100" w:type="dxa"/>
              <w:left w:w="120" w:type="dxa"/>
              <w:right w:w="120" w:type="dxa"/>
            </w:tcMar>
          </w:tcPr>
          <w:p>
            <w:r>
              <w:rPr>
                <w:rFonts w:ascii="Calibri" w:hAnsi="Calibri"/>
                <w:b/>
                <w:color w:val="008080"/>
                <w:sz w:val="19"/>
              </w:rPr>
              <w:t>Status: APPROVED &amp; SIGNED OFF</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CONFIDENTIAL - ENTERPRISE SAP S/4HANA AI INTERNSHIP PROGRAM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VIRTUAL SAP ABAP CODING ASSISTANT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