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AI Insights Assistant - Project Submission</w:t>
      </w:r>
    </w:p>
    <w:p>
      <w:r>
        <w:rPr>
          <w:b/>
        </w:rPr>
        <w:t xml:space="preserve">GitHub Repository: </w:t>
      </w:r>
      <w:r>
        <w:t>https://github.com/vedbhatt23/FF_AI_ASSISTANT</w:t>
      </w:r>
    </w:p>
    <w:p>
      <w:pPr>
        <w:pStyle w:val="Heading1"/>
      </w:pPr>
      <w:r>
        <w:t>1. Project Overview</w:t>
      </w:r>
    </w:p>
    <w:p>
      <w:r>
        <w:t>This project fulfills the requirements for a Secure AI Insights Assistant. It features a Next.js/React frontend with a Python/FastAPI backend, orchestrating multi-source analytics using GPT-4o. The AI relies entirely on strictly scoped backend tools rather than raw SQL generation to guarantee data security. It dynamically renders explainability traces and interactive Recharts visualizations.</w:t>
      </w:r>
    </w:p>
    <w:p>
      <w:pPr>
        <w:pStyle w:val="Heading1"/>
      </w:pPr>
      <w:r>
        <w:t>2. Setup &amp; Execution Instructions</w:t>
      </w:r>
    </w:p>
    <w:p>
      <w:r>
        <w:t>The easiest way to review this application is via Docker Compose:</w:t>
      </w:r>
    </w:p>
    <w:p>
      <w:pPr>
        <w:pStyle w:val="ListNumber"/>
      </w:pPr>
      <w:r>
        <w:t>1. Clone the repository.</w:t>
      </w:r>
    </w:p>
    <w:p>
      <w:pPr>
        <w:pStyle w:val="ListNumber"/>
      </w:pPr>
      <w:r>
        <w:t>2. Configure the backend/.env file with your OpenAI API Key (OPENAI_API_KEY).</w:t>
      </w:r>
    </w:p>
    <w:p>
      <w:pPr>
        <w:pStyle w:val="ListNumber"/>
      </w:pPr>
      <w:r>
        <w:t>3. Run `docker compose up --build` in the root directory.</w:t>
      </w:r>
    </w:p>
    <w:p>
      <w:pPr>
        <w:pStyle w:val="ListNumber"/>
      </w:pPr>
      <w:r>
        <w:t>4. Open http://localhost:3000 to interact with the frontend.</w:t>
      </w:r>
    </w:p>
    <w:p>
      <w:r>
        <w:rPr>
          <w:b/>
        </w:rPr>
        <w:t>Note:</w:t>
      </w:r>
      <w:r>
        <w:t xml:space="preserve"> On the first startup, the backend automatically generates all mock data, initializes the SQLite database, and creates the ChromaDB vector embeddings.</w:t>
      </w:r>
    </w:p>
    <w:p>
      <w:pPr>
        <w:pStyle w:val="Heading1"/>
      </w:pPr>
      <w:r>
        <w:t>3. Key Architectural Decisions &amp; Assumptions</w:t>
      </w:r>
    </w:p>
    <w:p>
      <w:r>
        <w:t>• Security First (No Text-to-SQL): Instead of giving the LLM unrestricted database access, a registry of parameterized Python tools was built. The LLM only supplies arguments to these functions, ensuring total protection against SQL Injection.</w:t>
      </w:r>
    </w:p>
    <w:p>
      <w:r>
        <w:t>• Full Explainability: Every AI response includes a visible "Execution Trace" in the UI, proving exactly which SQL database tools and ChromaDB document searches were used, fulfilling the transparency requirement.</w:t>
      </w:r>
    </w:p>
    <w:p>
      <w:r>
        <w:t>• Mock Data Assumptions: Because real internal documents were not provided, realistic mock markdown documents (e.g., quarterly reports, guidelines) and CSVs were generated programmatically during initialization to effectively simulate the environment.</w:t>
      </w:r>
    </w:p>
    <w:p>
      <w:r>
        <w:t>• Data Persistence: SQLite and ChromaDB were used to ensure the project remains fully portable and easy to evaluate locally without external database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