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VII. Comparison of Proposed Work and Existing Work with Table and Graph</w:t>
      </w:r>
    </w:p>
    <w:p>
      <w:pPr>
        <w:pStyle w:val="Subtitle"/>
      </w:pPr>
      <w:r>
        <w:t xml:space="preserve">Project: India Road Accident Risk Analysis</w:t>
      </w:r>
    </w:p>
    <w:p>
      <w:pPr>
        <w:pStyle w:val="Heading1"/>
      </w:pPr>
      <w:r>
        <w:t xml:space="preserve">Comparison Method</w:t>
      </w:r>
    </w:p>
    <w:p>
      <w:r>
        <w:t xml:space="preserve">Existing work is represented by baseline models trained without feature engineering. Proposed work is represented by the same models trained with engineered features such as fatality rate, city-level totals, and cause-based risk indicators.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F1 (Proposed)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F1 (Existing)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Delta F1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AUC (Proposed)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AUC (Existing)</w:t>
            </w:r>
          </w:p>
        </w:tc>
      </w:tr>
      <w:tr>
        <w:tc>
          <w:tcPr>
            <w:tcW w:w="2400" w:type="dxa"/>
          </w:tcPr>
          <w:p>
            <w:r>
              <w:t xml:space="preserve">Logistic Regression</w:t>
            </w:r>
          </w:p>
        </w:tc>
        <w:tc>
          <w:tcPr>
            <w:tcW w:w="2400" w:type="dxa"/>
          </w:tcPr>
          <w:p>
            <w:r>
              <w:t xml:space="preserve">2.93%</w:t>
            </w:r>
          </w:p>
        </w:tc>
        <w:tc>
          <w:tcPr>
            <w:tcW w:w="2400" w:type="dxa"/>
          </w:tcPr>
          <w:p>
            <w:r>
              <w:t xml:space="preserve">2.44%</w:t>
            </w:r>
          </w:p>
        </w:tc>
        <w:tc>
          <w:tcPr>
            <w:tcW w:w="2400" w:type="dxa"/>
          </w:tcPr>
          <w:p>
            <w:r>
              <w:t xml:space="preserve">+0.49%</w:t>
            </w:r>
          </w:p>
        </w:tc>
        <w:tc>
          <w:tcPr>
            <w:tcW w:w="2400" w:type="dxa"/>
          </w:tcPr>
          <w:p>
            <w:r>
              <w:t xml:space="preserve">70.82%</w:t>
            </w:r>
          </w:p>
        </w:tc>
        <w:tc>
          <w:tcPr>
            <w:tcW w:w="2400" w:type="dxa"/>
          </w:tcPr>
          <w:p>
            <w:r>
              <w:t xml:space="preserve">61.90%</w:t>
            </w:r>
          </w:p>
        </w:tc>
      </w:tr>
      <w:tr>
        <w:tc>
          <w:tcPr>
            <w:tcW w:w="2400" w:type="dxa"/>
          </w:tcPr>
          <w:p>
            <w:r>
              <w:t xml:space="preserve">Decision Tree</w:t>
            </w:r>
          </w:p>
        </w:tc>
        <w:tc>
          <w:tcPr>
            <w:tcW w:w="2400" w:type="dxa"/>
          </w:tcPr>
          <w:p>
            <w:r>
              <w:t xml:space="preserve">15.35%</w:t>
            </w:r>
          </w:p>
        </w:tc>
        <w:tc>
          <w:tcPr>
            <w:tcW w:w="2400" w:type="dxa"/>
          </w:tcPr>
          <w:p>
            <w:r>
              <w:t xml:space="preserve">14.17%</w:t>
            </w:r>
          </w:p>
        </w:tc>
        <w:tc>
          <w:tcPr>
            <w:tcW w:w="2400" w:type="dxa"/>
          </w:tcPr>
          <w:p>
            <w:r>
              <w:t xml:space="preserve">+1.18%</w:t>
            </w:r>
          </w:p>
        </w:tc>
        <w:tc>
          <w:tcPr>
            <w:tcW w:w="2400" w:type="dxa"/>
          </w:tcPr>
          <w:p>
            <w:r>
              <w:t xml:space="preserve">68.68%</w:t>
            </w:r>
          </w:p>
        </w:tc>
        <w:tc>
          <w:tcPr>
            <w:tcW w:w="2400" w:type="dxa"/>
          </w:tcPr>
          <w:p>
            <w:r>
              <w:t xml:space="preserve">58.20%</w:t>
            </w:r>
          </w:p>
        </w:tc>
      </w:tr>
      <w:tr>
        <w:tc>
          <w:tcPr>
            <w:tcW w:w="2400" w:type="dxa"/>
          </w:tcPr>
          <w:p>
            <w:r>
              <w:t xml:space="preserve">Gradient Boosting</w:t>
            </w:r>
          </w:p>
        </w:tc>
        <w:tc>
          <w:tcPr>
            <w:tcW w:w="2400" w:type="dxa"/>
          </w:tcPr>
          <w:p>
            <w:r>
              <w:t xml:space="preserve">18.06%</w:t>
            </w:r>
          </w:p>
        </w:tc>
        <w:tc>
          <w:tcPr>
            <w:tcW w:w="2400" w:type="dxa"/>
          </w:tcPr>
          <w:p>
            <w:r>
              <w:t xml:space="preserve">12.11%</w:t>
            </w:r>
          </w:p>
        </w:tc>
        <w:tc>
          <w:tcPr>
            <w:tcW w:w="2400" w:type="dxa"/>
          </w:tcPr>
          <w:p>
            <w:r>
              <w:t xml:space="preserve">+5.95%</w:t>
            </w:r>
          </w:p>
        </w:tc>
        <w:tc>
          <w:tcPr>
            <w:tcW w:w="2400" w:type="dxa"/>
          </w:tcPr>
          <w:p>
            <w:r>
              <w:t xml:space="preserve">72.12%</w:t>
            </w:r>
          </w:p>
        </w:tc>
        <w:tc>
          <w:tcPr>
            <w:tcW w:w="2400" w:type="dxa"/>
          </w:tcPr>
          <w:p>
            <w:r>
              <w:t xml:space="preserve">62.79%</w:t>
            </w:r>
          </w:p>
        </w:tc>
      </w:tr>
      <w:tr>
        <w:tc>
          <w:tcPr>
            <w:tcW w:w="2400" w:type="dxa"/>
          </w:tcPr>
          <w:p>
            <w:r>
              <w:t xml:space="preserve">K-Nearest Neighbors</w:t>
            </w:r>
          </w:p>
        </w:tc>
        <w:tc>
          <w:tcPr>
            <w:tcW w:w="2400" w:type="dxa"/>
          </w:tcPr>
          <w:p>
            <w:r>
              <w:t xml:space="preserve">0.96%</w:t>
            </w:r>
          </w:p>
        </w:tc>
        <w:tc>
          <w:tcPr>
            <w:tcW w:w="2400" w:type="dxa"/>
          </w:tcPr>
          <w:p>
            <w:r>
              <w:t xml:space="preserve">0.49%</w:t>
            </w:r>
          </w:p>
        </w:tc>
        <w:tc>
          <w:tcPr>
            <w:tcW w:w="2400" w:type="dxa"/>
          </w:tcPr>
          <w:p>
            <w:r>
              <w:t xml:space="preserve">+0.47%</w:t>
            </w:r>
          </w:p>
        </w:tc>
        <w:tc>
          <w:tcPr>
            <w:tcW w:w="2400" w:type="dxa"/>
          </w:tcPr>
          <w:p>
            <w:r>
              <w:t xml:space="preserve">33.28%</w:t>
            </w:r>
          </w:p>
        </w:tc>
        <w:tc>
          <w:tcPr>
            <w:tcW w:w="2400" w:type="dxa"/>
          </w:tcPr>
          <w:p>
            <w:r>
              <w:t xml:space="preserve">33.27%</w:t>
            </w:r>
          </w:p>
        </w:tc>
      </w:tr>
      <w:tr>
        <w:tc>
          <w:tcPr>
            <w:tcW w:w="2400" w:type="dxa"/>
          </w:tcPr>
          <w:p>
            <w:r>
              <w:t xml:space="preserve">Naive Bayes</w:t>
            </w:r>
          </w:p>
        </w:tc>
        <w:tc>
          <w:tcPr>
            <w:tcW w:w="2400" w:type="dxa"/>
          </w:tcPr>
          <w:p>
            <w:r>
              <w:t xml:space="preserve">41.60%</w:t>
            </w:r>
          </w:p>
        </w:tc>
        <w:tc>
          <w:tcPr>
            <w:tcW w:w="2400" w:type="dxa"/>
          </w:tcPr>
          <w:p>
            <w:r>
              <w:t xml:space="preserve">17.79%</w:t>
            </w:r>
          </w:p>
        </w:tc>
        <w:tc>
          <w:tcPr>
            <w:tcW w:w="2400" w:type="dxa"/>
          </w:tcPr>
          <w:p>
            <w:r>
              <w:t xml:space="preserve">+23.81%</w:t>
            </w:r>
          </w:p>
        </w:tc>
        <w:tc>
          <w:tcPr>
            <w:tcW w:w="2400" w:type="dxa"/>
          </w:tcPr>
          <w:p>
            <w:r>
              <w:t xml:space="preserve">70.82%</w:t>
            </w:r>
          </w:p>
        </w:tc>
        <w:tc>
          <w:tcPr>
            <w:tcW w:w="2400" w:type="dxa"/>
          </w:tcPr>
          <w:p>
            <w:r>
              <w:t xml:space="preserve">61.87%</w:t>
            </w:r>
          </w:p>
        </w:tc>
      </w:tr>
      <w:tr>
        <w:tc>
          <w:tcPr>
            <w:tcW w:w="2400" w:type="dxa"/>
          </w:tcPr>
          <w:p>
            <w:r>
              <w:t xml:space="preserve">LinearSVC</w:t>
            </w:r>
          </w:p>
        </w:tc>
        <w:tc>
          <w:tcPr>
            <w:tcW w:w="2400" w:type="dxa"/>
          </w:tcPr>
          <w:p>
            <w:r>
              <w:t xml:space="preserve">1.98%</w:t>
            </w:r>
          </w:p>
        </w:tc>
        <w:tc>
          <w:tcPr>
            <w:tcW w:w="2400" w:type="dxa"/>
          </w:tcPr>
          <w:p>
            <w:r>
              <w:t xml:space="preserve">1.00%</w:t>
            </w:r>
          </w:p>
        </w:tc>
        <w:tc>
          <w:tcPr>
            <w:tcW w:w="2400" w:type="dxa"/>
          </w:tcPr>
          <w:p>
            <w:r>
              <w:t xml:space="preserve">+0.98%</w:t>
            </w:r>
          </w:p>
        </w:tc>
        <w:tc>
          <w:tcPr>
            <w:tcW w:w="2400" w:type="dxa"/>
          </w:tcPr>
          <w:p>
            <w:r>
              <w:t xml:space="preserve">70.41%</w:t>
            </w:r>
          </w:p>
        </w:tc>
        <w:tc>
          <w:tcPr>
            <w:tcW w:w="2400" w:type="dxa"/>
          </w:tcPr>
          <w:p>
            <w:r>
              <w:t xml:space="preserve">60.39%</w:t>
            </w:r>
          </w:p>
        </w:tc>
      </w:tr>
    </w:tbl>
    <w:p/>
    <w:p>
      <w:pPr>
        <w:pStyle w:val="Heading1"/>
      </w:pPr>
      <w:r>
        <w:t xml:space="preserve">Key Findings</w:t>
      </w:r>
    </w:p>
    <w:p>
      <w:pPr>
        <w:pStyle w:val="ListParagraph"/>
        <w:numPr>
          <w:ilvl w:val="0"/>
          <w:numId w:val="1"/>
        </w:numPr>
      </w:pPr>
      <w:r>
        <w:t xml:space="preserve">Best proposed model in the comparison study: Naive Bayes with 41.60% F1.</w:t>
      </w:r>
    </w:p>
    <w:p>
      <w:pPr>
        <w:pStyle w:val="ListParagraph"/>
        <w:numPr>
          <w:ilvl w:val="0"/>
          <w:numId w:val="1"/>
        </w:numPr>
      </w:pPr>
      <w:r>
        <w:t xml:space="preserve">Best baseline model: Naive Bayes with 17.79% F1.</w:t>
      </w:r>
    </w:p>
    <w:p>
      <w:pPr>
        <w:pStyle w:val="ListParagraph"/>
        <w:numPr>
          <w:ilvl w:val="0"/>
          <w:numId w:val="1"/>
        </w:numPr>
      </w:pPr>
      <w:r>
        <w:t xml:space="preserve">Average F1 gain from feature engineering: +4.7 percentage points.</w:t>
      </w:r>
    </w:p>
    <w:p>
      <w:pPr>
        <w:pStyle w:val="ListParagraph"/>
        <w:numPr>
          <w:ilvl w:val="0"/>
          <w:numId w:val="1"/>
        </w:numPr>
      </w:pPr>
      <w:r>
        <w:t xml:space="preserve">Average AUC gain from feature engineering: +6.8 percentage points.</w:t>
      </w:r>
    </w:p>
    <w:p>
      <w:pPr>
        <w:pStyle w:val="Heading1"/>
      </w:pPr>
      <w:r>
        <w:t xml:space="preserve">Comparison Graphs</w:t>
      </w:r>
    </w:p>
    <w:p>
      <w:r>
        <w:drawing>
          <wp:inline xmlns:wp="http://schemas.openxmlformats.org/drawingml/2006/wordprocessingDrawing" distT="0" distB="0" distL="0" distR="0">
            <wp:extent cx="5303520" cy="2382364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_06_f1_gain_from_fe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7.1: F1-score gain from feature engineering.</w:t>
      </w:r>
    </w:p>
    <w:p>
      <w:r>
        <w:drawing>
          <wp:inline xmlns:wp="http://schemas.openxmlformats.org/drawingml/2006/wordprocessingDrawing" distT="0" distB="0" distL="0" distR="0">
            <wp:extent cx="5303520" cy="1449826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EL_07_full_results_table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7.2: Visual comparison table of all evaluated models.</w:t>
      </w:r>
    </w:p>
    <w:p>
      <w:r>
        <w:drawing>
          <wp:inline xmlns:wp="http://schemas.openxmlformats.org/drawingml/2006/wordprocessingDrawing" distT="0" distB="0" distL="0" distR="0">
            <wp:extent cx="5303520" cy="5395276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DEL_05_radar_best_model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7.3: Radar chart for the best-performing proposed model.</w:t>
      </w:r>
    </w:p>
    <w:p>
      <w:pPr>
        <w:pStyle w:val="Heading1"/>
      </w:pPr>
      <w:r>
        <w:t xml:space="preserve">Discussion</w:t>
      </w:r>
    </w:p>
    <w:p>
      <w:r>
        <w:t xml:space="preserve">The proposed approach consistently improves model quality by enriching the feature space with domain-relevant variables. In particular, Naive Bayes benefits substantially from the additional accident severity indicators. Random Forest was excluded from the written comparison summary because the run in main.py encountered a Windows permission issue during parallel execution.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pPr>
      <w:jc w:val="center"/>
      <w:spacing w:after="200"/>
    </w:pPr>
    <w:rPr>
      <w:b/>
      <w:sz w:val="32"/>
    </w:rPr>
  </w:style>
  <w:style w:type="paragraph" w:styleId="Subtitle">
    <w:name w:val="Subtitle"/>
    <w:pPr>
      <w:jc w:val="center"/>
      <w:spacing w:after="240"/>
    </w:pPr>
    <w:rPr>
      <w:i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pPr>
      <w:spacing w:before="180" w:after="100"/>
    </w:pPr>
    <w:rPr>
      <w:b/>
      <w:sz w:val="24"/>
    </w:rPr>
  </w:style>
  <w:style w:type="paragraph" w:styleId="ListParagraph">
    <w:name w:val="List Paragraph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age1" Type="http://schemas.openxmlformats.org/officeDocument/2006/relationships/image" Target="media/MODEL_06_f1_gain_from_fe.png"/><Relationship Id="rIdImage2" Type="http://schemas.openxmlformats.org/officeDocument/2006/relationships/image" Target="media/MODEL_07_full_results_table.png"/><Relationship Id="rIdImage3" Type="http://schemas.openxmlformats.org/officeDocument/2006/relationships/image" Target="media/MODEL_05_radar_best_model.png"/>
</Relationships>
</file>