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Infrastructure Migration Guidelines</w:t>
      </w:r>
    </w:p>
    <w:p>
      <w:r>
        <w:t>Comprehensive runbook for migrating multi-tenant PostgreSQL clusters to AWS RDS Aurora. Key subject matter expert: Sarah Chen. Critical risk of data corruption if replication lag exceeds 500ms.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