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sz w:val="24"/>
          <w:szCs w:val="24"/>
        </w:rPr>
        <w:t xml:space="preserve">MASTER SERVICES AGREEMENT (MSA)</w:t>
      </w:r>
    </w:p>
    <w:p>
      <w:pPr>
        <w:spacing w:after="150"/>
      </w:pPr>
      <w:r>
        <w:rPr>
          <w:sz w:val="22"/>
          <w:szCs w:val="22"/>
        </w:rPr>
        <w:t xml:space="preserve">This Master Services Agreement ("Agreement") is made effective as of October 1, 2026, by and between ApexCloud Solutions Ltd. ("Vendor") and Enterprise Procurement Partner ("Customer").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SECTION 1. DEFINITIONS AND SERVICES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SECTION 2. FEES, INVOICING AND PAYMENT PENALTIES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SECTION 3. TERM AND AUTOMATIC RENEWAL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SECTION 4. INTELLECTUAL PROPERTY AND WORK PRODUCT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SECTION 5. DATA PRIVACY AND SECURITY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SECTION 6. ONE-SIDED INDEMNIFICATION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SECTION 7. UNLIMITED LIABILITY FOR CUSTOMER AND VENDOR DISCLAIMER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SECTION 8. SERVICE LEVELS AND DOWNTIME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SECTION 9. GOVERNING LAW AND DISPUTE RESOLUTION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SECTION 10. CONFIDENTIALITY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2026-10-08T05:12:01.710Z</dcterms:created>
  <dcterms:modified xsi:type="dcterms:W3CDTF">2026-10-08T05:12:01.711Z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