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PROJECT REPORT</w:t>
      </w:r>
    </w:p>
    <w:p>
      <w:pPr>
        <w:spacing w:after="80"/>
      </w:pPr>
      <w:r>
        <w:rPr>
          <w:b/>
          <w:bCs/>
          <w:color w:val="1F3864"/>
          <w:sz w:val="48"/>
          <w:szCs w:val="48"/>
        </w:rPr>
        <w:t xml:space="preserve">Climate Risk &amp; Health Prediction Challenge</w:t>
      </w:r>
    </w:p>
    <w:p>
      <w:pPr>
        <w:spacing w:after="360"/>
      </w:pPr>
      <w:r>
        <w:rPr>
          <w:i/>
          <w:iCs/>
          <w:color w:val="595959"/>
          <w:sz w:val="22"/>
          <w:szCs w:val="22"/>
        </w:rPr>
        <w:t xml:space="preserve">Binary classification of climate-sensitive mortality — Zindi competition, 2026</w:t>
      </w:r>
    </w:p>
    <w:p>
      <w:pPr>
        <w:pStyle w:val="Heading1"/>
        <w:spacing w:after="160" w:before="360"/>
      </w:pPr>
      <w:r>
        <w:t xml:space="preserve">1. Problem Statement</w:t>
      </w:r>
    </w:p>
    <w:p>
      <w:pPr>
        <w:spacing w:after="140"/>
      </w:pPr>
      <w:r>
        <w:t xml:space="preserve">The challenge asks for a binary classifier predicting whether a recorded death in Uganda falls into a “climate-sensitive” category, using demographic (age, gender, zone), geographic (location, elevation, slope), and climate (temperature, rainfall, NDVI) features. Submissions are scored on a weighted blend of F1 (60%) and ROC-AUC (40%), with the classification threshold fixed at 0.5 per the competition rules.</w:t>
      </w:r>
    </w:p>
    <w:p>
      <w:pPr>
        <w:pStyle w:val="Heading1"/>
        <w:spacing w:after="160" w:before="360"/>
      </w:pPr>
      <w:r>
        <w:t xml:space="preserve">2. Dataset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Train.csv / Test.csv: demographic and base climate fields (zone, gender, age, temperature, precipitation, latitude/longitude, location, deathdate) — 3,146 / 1,030 records.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climate_features.csv: 17 engineered climate/terrain columns (7/30/90-day rainfall and temperature windows, NDVI, elevation, slope), keyed by ID, covering both Train and Test.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Target distribution: 65% climate-sensitive / 35% not.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 is high-cardinality (dozens of distinct villages) relative to the dataset's size, which shaped the encoding strategy described below.</w:t>
      </w:r>
    </w:p>
    <w:p>
      <w:pPr>
        <w:pStyle w:val="Heading1"/>
        <w:spacing w:after="160" w:before="360"/>
      </w:pPr>
      <w:r>
        <w:t xml:space="preserve">3. Methodology — Iteration Timeline</w:t>
      </w:r>
    </w:p>
    <w:p>
      <w:pPr>
        <w:spacing w:after="140"/>
      </w:pPr>
      <w:r>
        <w:t xml:space="preserve">Seven notebooks trace a steady, score-driven progression from a minimal baseline (0.793) to the final feature-engineered CatBoost pipeline (0.84562). Each iteration's leaderboard score is the one recorded at the top of that notebook: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760"/>
        <w:gridCol w:w="178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Notebook</w:t>
            </w:r>
          </w:p>
        </w:tc>
        <w:tc>
          <w:tcPr>
            <w:tcW w:type="dxa" w:w="57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changed</w:t>
            </w:r>
          </w:p>
        </w:tc>
        <w:tc>
          <w:tcPr>
            <w:tcW w:type="dxa" w:w="17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Leaderboard score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baseline.ipynb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Logistic Regression only; location parsed into split string columns; no external climate data</w:t>
            </w:r>
          </w:p>
        </w:tc>
        <w:tc>
          <w:tcPr>
            <w:tcW w:type="dxa" w:w="17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0.793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feature-engineered.ipynb</w:t>
            </w:r>
          </w:p>
        </w:tc>
        <w:tc>
          <w:tcPr>
            <w:tcW w:type="dxa" w:w="5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Broadened to 5 candidate models (Logistic Regression, Random Forest, Extra Trees, Gradient Boosting, XGBoost)</w:t>
            </w:r>
          </w:p>
        </w:tc>
        <w:tc>
          <w:tcPr>
            <w:tcW w:type="dxa" w:w="17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0.818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fe-hpt.ipynb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Hyperparameter search (RandomizedSearchCV/GridSearchCV) across all tree-based models</w:t>
            </w:r>
          </w:p>
        </w:tc>
        <w:tc>
          <w:tcPr>
            <w:tcW w:type="dxa" w:w="17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0.836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hpt-eda-updated.ipynb</w:t>
            </w:r>
          </w:p>
        </w:tc>
        <w:tc>
          <w:tcPr>
            <w:tcW w:type="dxa" w:w="5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Correlation-heatmap review of engineered features; refined encoding based on which location values carried signal</w:t>
            </w:r>
          </w:p>
        </w:tc>
        <w:tc>
          <w:tcPr>
            <w:tcW w:type="dxa" w:w="17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0.8362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fe-updated.ipynb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Added interaction features (temperature x precipitation, geographic x demographic terms)</w:t>
            </w:r>
          </w:p>
        </w:tc>
        <w:tc>
          <w:tcPr>
            <w:tcW w:type="dxa" w:w="17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0.83908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fe-catboost.ipynb</w:t>
            </w:r>
          </w:p>
        </w:tc>
        <w:tc>
          <w:tcPr>
            <w:tcW w:type="dxa" w:w="5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Introduced CatBoost as an additional model in the comparison</w:t>
            </w:r>
          </w:p>
        </w:tc>
        <w:tc>
          <w:tcPr>
            <w:tcW w:type="dxa" w:w="17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0.84463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catboost-climate-features.ipynb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Merged climate_features.csv (7/30/90-day rainfall &amp; temperature windows, NDVI, elevation, slope); target-mean encoding retained across all location values</w:t>
            </w:r>
          </w:p>
        </w:tc>
        <w:tc>
          <w:tcPr>
            <w:tcW w:type="dxa" w:w="17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0.84562 (best)</w:t>
            </w:r>
          </w:p>
        </w:tc>
      </w:tr>
    </w:tbl>
    <w:p>
      <w:pPr>
        <w:spacing w:before="220"/>
      </w:pPr>
    </w:p>
    <w:p>
      <w:pPr>
        <w:pStyle w:val="Heading1"/>
        <w:spacing w:after="160" w:before="360"/>
      </w:pPr>
      <w:r>
        <w:t xml:space="preserve">4. Key Design Decisions</w:t>
      </w:r>
    </w:p>
    <w:p>
      <w:pPr>
        <w:pStyle w:val="Heading2"/>
        <w:spacing w:after="100" w:before="260"/>
      </w:pPr>
      <w:r>
        <w:t xml:space="preserve">4.1 Target-mean encoding for high-cardinality categoricals</w:t>
      </w:r>
    </w:p>
    <w:p>
      <w:pPr>
        <w:spacing w:after="140"/>
      </w:pPr>
      <w:r>
        <w:t xml:space="preserve">location, zone, gender, and age_group were encoded using target-mean encoding rather than one-hot encoding. With location alone spanning several dozen distinct values on a dataset of only ~3,100 rows, one-hot encoding would have produced a very sparse, high-dimensional feature space relative to the available data — target-mean encoding compresses each category to a single informative number instead. All location values were retained rather than bucketing or dropping low-frequency ones, since with a dataset this small, every additional data point per category carries meaningful weight; dropping rare locations would have discarded information the model could otherwise use.</w:t>
      </w:r>
    </w:p>
    <w:p>
      <w:pPr>
        <w:pStyle w:val="Heading2"/>
        <w:spacing w:after="100" w:before="260"/>
      </w:pPr>
      <w:r>
        <w:t xml:space="preserve">4.2 Progressive model comparison</w:t>
      </w:r>
    </w:p>
    <w:p>
      <w:pPr>
        <w:spacing w:after="140"/>
      </w:pPr>
      <w:r>
        <w:t xml:space="preserve">The model set was widened iteration by iteration — from a single Logistic Regression baseline to a six-model comparison (Gradient Boosting, Extra Trees, Random Forest, XGBoost, LightGBM, CatBoost) — with the strongest performer selected at each stage based on its train/test score consistency.</w:t>
      </w:r>
    </w:p>
    <w:p>
      <w:pPr>
        <w:pStyle w:val="Heading2"/>
        <w:spacing w:after="100" w:before="260"/>
      </w:pPr>
      <w:r>
        <w:t xml:space="preserve">4.3 Feature engineering additions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Interaction terms: temperature x precipitation, geographic x demographic combinations.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External climate data merge: 7/30/90-day rainfall and temperature windows, NDVI, elevation, and slope from climate_features.csv, added in the final iteration.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Correlation-driven review: an intermediate pass examined the correlation heatmap of engineered features to check which encoded location values carried genuine signal before finalizing the encoding approach.</w:t>
      </w:r>
    </w:p>
    <w:p>
      <w:pPr>
        <w:pStyle w:val="Heading1"/>
        <w:spacing w:after="160" w:before="360"/>
      </w:pPr>
      <w:r>
        <w:t xml:space="preserve">5. Tools &amp; Techniques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Languages / libraries: Python, pandas, NumPy, scikit-learn, XGBoost, LightGBM, CatBoost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Modeling: Logistic Regression, Random Forest, Extra Trees, Gradient Boosting, XGBoost, LightGBM, CatBoost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Encoding: target-mean encoding for high-cardinality categorical variables (location, zone, gender, age group)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engineering: interaction terms, external climate-window features (rainfall/temperature over 7/30/90 days, NDVI, terrain)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Hyperparameter tuning: RandomizedSearchCV / GridSearchCV across tree-based models</w:t>
      </w:r>
    </w:p>
    <w:p>
      <w:pPr>
        <w:pStyle w:val="Heading1"/>
        <w:spacing w:after="160" w:before="360"/>
      </w:pPr>
      <w:r>
        <w:t xml:space="preserve">6. Results</w:t>
      </w:r>
    </w:p>
    <w:p>
      <w:pPr>
        <w:spacing w:after="140"/>
      </w:pPr>
      <w:r>
        <w:t xml:space="preserve">The pipeline improved from 0.793 to 0.84562 on the public leaderboard across seven iterations, driven by (in order of impact): introducing CatBoost, merging external climate-window features, adding interaction terms, hyperparameter tuning, and widening the model comparison beyond a single linear baseline.</w:t>
      </w:r>
    </w:p>
    <w:p>
      <w:pPr>
        <w:pStyle w:val="Heading1"/>
        <w:spacing w:after="160" w:before="360"/>
      </w:pPr>
      <w:r>
        <w:t xml:space="preserve">7. Key Takeaways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Iteratively improved a binary classifier's leaderboard score from 0.793 to 0.846 through systematic feature engineering and model selection.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Applied target-mean encoding to handle a high-cardinality categorical variable (location) on a small dataset, preserving information from low-frequency categories rather than discarding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Compared seven model families (linear and tree-based/gradient-boosted) and selected the best performer using train/test score consistency at each stage.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Integrated external climate-window features (multi-horizon rainfall, temperature, NDVI, terrain) to lift the final model beyond what demographic and single-point climate readings alone could achieve.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2026-09-24T04:23:21.289Z</dcterms:created>
  <dcterms:modified xsi:type="dcterms:W3CDTF">2026-09-24T04:23:21.298Z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