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C55" w:rsidRPr="000F1147" w:rsidRDefault="000F1147" w:rsidP="00C02216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0F1147">
        <w:rPr>
          <w:rFonts w:ascii="Palatino Linotype" w:hAnsi="Palatino Linotype"/>
          <w:b/>
          <w:u w:val="single"/>
        </w:rPr>
        <w:t>P</w:t>
      </w:r>
      <w:r w:rsidR="00984FDE">
        <w:rPr>
          <w:rFonts w:ascii="Palatino Linotype" w:hAnsi="Palatino Linotype"/>
          <w:b/>
          <w:u w:val="single"/>
        </w:rPr>
        <w:t>, I</w:t>
      </w:r>
      <w:r w:rsidRPr="000F1147">
        <w:rPr>
          <w:rFonts w:ascii="Palatino Linotype" w:hAnsi="Palatino Linotype"/>
          <w:b/>
          <w:u w:val="single"/>
        </w:rPr>
        <w:t xml:space="preserve"> 6</w:t>
      </w:r>
    </w:p>
    <w:p w:rsidR="000F1147" w:rsidRPr="000F1147" w:rsidRDefault="000F1147" w:rsidP="000F1147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0F1147">
        <w:rPr>
          <w:rFonts w:ascii="Palatino Linotype" w:hAnsi="Palatino Linotype"/>
          <w:lang w:val="fr-FR"/>
        </w:rPr>
        <w:t xml:space="preserve">Qualiter redierunt ad regem |5d| </w:t>
      </w:r>
      <w:r w:rsidRPr="000F1147">
        <w:rPr>
          <w:rFonts w:ascii="Palatino Linotype" w:hAnsi="Palatino Linotype"/>
          <w:i/>
          <w:lang w:val="fr-FR"/>
        </w:rPr>
        <w:t>Tartarorum</w:t>
      </w:r>
      <w:r w:rsidRPr="000F1147">
        <w:rPr>
          <w:rFonts w:ascii="Palatino Linotype" w:hAnsi="Palatino Linotype"/>
          <w:lang w:val="fr-FR"/>
        </w:rPr>
        <w:t>. Capitulum 6</w:t>
      </w:r>
      <w:r w:rsidRPr="000F1147">
        <w:rPr>
          <w:rFonts w:ascii="Palatino Linotype" w:hAnsi="Palatino Linotype"/>
          <w:vertAlign w:val="superscript"/>
          <w:lang w:val="fr-FR"/>
        </w:rPr>
        <w:t>m</w:t>
      </w:r>
      <w:r w:rsidRPr="000F1147">
        <w:rPr>
          <w:rFonts w:ascii="Palatino Linotype" w:hAnsi="Palatino Linotype"/>
          <w:lang w:val="fr-FR"/>
        </w:rPr>
        <w:t>.</w:t>
      </w:r>
    </w:p>
    <w:p w:rsidR="000F1147" w:rsidRPr="000F1147" w:rsidRDefault="000F1147" w:rsidP="000F1147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0F1147" w:rsidRPr="000F1147" w:rsidRDefault="000F1147" w:rsidP="000F1147">
      <w:pPr>
        <w:spacing w:after="0" w:line="240" w:lineRule="auto"/>
        <w:jc w:val="both"/>
        <w:rPr>
          <w:rFonts w:ascii="Palatino Linotype" w:hAnsi="Palatino Linotype"/>
        </w:rPr>
      </w:pPr>
      <w:r w:rsidRPr="000F1147">
        <w:rPr>
          <w:rFonts w:ascii="Palatino Linotype" w:hAnsi="Palatino Linotype"/>
          <w:b/>
          <w:lang w:val="fr-FR"/>
        </w:rPr>
        <w:t>[3]</w:t>
      </w:r>
      <w:r w:rsidRPr="000F1147">
        <w:rPr>
          <w:rFonts w:ascii="Palatino Linotype" w:hAnsi="Palatino Linotype"/>
          <w:lang w:val="fr-FR"/>
        </w:rPr>
        <w:t xml:space="preserve"> Ut autem de </w:t>
      </w:r>
      <w:r w:rsidRPr="000F1147">
        <w:rPr>
          <w:rFonts w:ascii="Palatino Linotype" w:hAnsi="Palatino Linotype"/>
          <w:i/>
          <w:u w:val="single"/>
          <w:lang w:val="fr-FR"/>
        </w:rPr>
        <w:t>Accon</w:t>
      </w:r>
      <w:r w:rsidRPr="000F1147">
        <w:rPr>
          <w:rFonts w:ascii="Palatino Linotype" w:hAnsi="Palatino Linotype"/>
          <w:lang w:val="fr-FR"/>
        </w:rPr>
        <w:t xml:space="preserve"> discesserunt, legatus prenominatus recepit cardinalium nuncios quod ipse in summum pontificem erat electus imposuitque sibi nomen </w:t>
      </w:r>
      <w:r w:rsidRPr="000F1147">
        <w:rPr>
          <w:rFonts w:ascii="Palatino Linotype" w:hAnsi="Palatino Linotype"/>
          <w:i/>
          <w:lang w:val="fr-FR"/>
        </w:rPr>
        <w:t>Gregorius</w:t>
      </w:r>
      <w:r w:rsidRPr="000F1147">
        <w:rPr>
          <w:rFonts w:ascii="Palatino Linotype" w:hAnsi="Palatino Linotype"/>
          <w:lang w:val="fr-FR"/>
        </w:rPr>
        <w:t xml:space="preserve">; et missis nunciis statim revocavit eos reversosque suscepit alacriter, quibus litteras alias tradidit ad </w:t>
      </w:r>
      <w:r w:rsidRPr="000F1147">
        <w:rPr>
          <w:rFonts w:ascii="Palatino Linotype" w:hAnsi="Palatino Linotype"/>
          <w:i/>
          <w:lang w:val="fr-FR"/>
        </w:rPr>
        <w:t>Tartarorum</w:t>
      </w:r>
      <w:r w:rsidRPr="000F1147">
        <w:rPr>
          <w:rFonts w:ascii="Palatino Linotype" w:hAnsi="Palatino Linotype"/>
          <w:lang w:val="fr-FR"/>
        </w:rPr>
        <w:t xml:space="preserve"> regem, duosque fratres |6a| ordinis </w:t>
      </w:r>
      <w:r w:rsidRPr="00BB5438">
        <w:rPr>
          <w:rFonts w:ascii="Palatino Linotype" w:hAnsi="Palatino Linotype"/>
          <w:smallCaps/>
          <w:lang w:val="fr-FR"/>
        </w:rPr>
        <w:t>fratrum predicatorum</w:t>
      </w:r>
      <w:r w:rsidRPr="000F1147">
        <w:rPr>
          <w:rFonts w:ascii="Palatino Linotype" w:hAnsi="Palatino Linotype"/>
          <w:lang w:val="fr-FR"/>
        </w:rPr>
        <w:t xml:space="preserve"> litteratos et probos, qui in </w:t>
      </w:r>
      <w:r w:rsidRPr="000F1147">
        <w:rPr>
          <w:rFonts w:ascii="Palatino Linotype" w:hAnsi="Palatino Linotype"/>
          <w:i/>
          <w:u w:val="single"/>
          <w:lang w:val="fr-FR"/>
        </w:rPr>
        <w:t>Accon</w:t>
      </w:r>
      <w:r w:rsidRPr="000F1147">
        <w:rPr>
          <w:rFonts w:ascii="Palatino Linotype" w:hAnsi="Palatino Linotype"/>
          <w:lang w:val="fr-FR"/>
        </w:rPr>
        <w:t xml:space="preserve"> erant, misit cum eis: quorum unus dicebatur frater </w:t>
      </w:r>
      <w:r w:rsidRPr="000F1147">
        <w:rPr>
          <w:rFonts w:ascii="Palatino Linotype" w:hAnsi="Palatino Linotype"/>
          <w:i/>
          <w:lang w:val="fr-FR"/>
        </w:rPr>
        <w:t>Nicolaus vincentinus</w:t>
      </w:r>
      <w:r w:rsidRPr="000F1147">
        <w:rPr>
          <w:rFonts w:ascii="Palatino Linotype" w:hAnsi="Palatino Linotype"/>
          <w:lang w:val="fr-FR"/>
        </w:rPr>
        <w:t xml:space="preserve">, alter vero frater </w:t>
      </w:r>
      <w:r w:rsidRPr="000F1147">
        <w:rPr>
          <w:rFonts w:ascii="Palatino Linotype" w:hAnsi="Palatino Linotype"/>
          <w:i/>
          <w:lang w:val="fr-FR"/>
        </w:rPr>
        <w:t>Guilielmus tripolitanus</w:t>
      </w:r>
      <w:r w:rsidRPr="000F1147">
        <w:rPr>
          <w:rFonts w:ascii="Palatino Linotype" w:hAnsi="Palatino Linotype"/>
          <w:lang w:val="fr-FR"/>
        </w:rPr>
        <w:t xml:space="preserve">. </w:t>
      </w:r>
      <w:r w:rsidRPr="000F1147">
        <w:rPr>
          <w:rFonts w:ascii="Palatino Linotype" w:hAnsi="Palatino Linotype"/>
          <w:b/>
          <w:lang w:val="fr-FR"/>
        </w:rPr>
        <w:t>[4]</w:t>
      </w:r>
      <w:r w:rsidRPr="000F1147">
        <w:rPr>
          <w:rFonts w:ascii="Palatino Linotype" w:hAnsi="Palatino Linotype"/>
          <w:lang w:val="fr-FR"/>
        </w:rPr>
        <w:t xml:space="preserve"> Cumque pervenissent ad </w:t>
      </w:r>
      <w:r w:rsidRPr="000F1147">
        <w:rPr>
          <w:rFonts w:ascii="Palatino Linotype" w:hAnsi="Palatino Linotype"/>
          <w:i/>
          <w:u w:val="single"/>
          <w:lang w:val="fr-FR"/>
        </w:rPr>
        <w:t>Glaçam</w:t>
      </w:r>
      <w:r w:rsidRPr="000F1147">
        <w:rPr>
          <w:rFonts w:ascii="Palatino Linotype" w:hAnsi="Palatino Linotype"/>
          <w:lang w:val="fr-FR"/>
        </w:rPr>
        <w:t xml:space="preserve">, </w:t>
      </w:r>
      <w:r w:rsidRPr="000F1147">
        <w:rPr>
          <w:rFonts w:ascii="Palatino Linotype" w:hAnsi="Palatino Linotype"/>
          <w:i/>
          <w:lang w:val="fr-FR"/>
        </w:rPr>
        <w:t>soldanus</w:t>
      </w:r>
      <w:r w:rsidRPr="000F1147">
        <w:rPr>
          <w:rFonts w:ascii="Palatino Linotype" w:hAnsi="Palatino Linotype"/>
          <w:lang w:val="fr-FR"/>
        </w:rPr>
        <w:t xml:space="preserve"> </w:t>
      </w:r>
      <w:r w:rsidRPr="000F1147">
        <w:rPr>
          <w:rFonts w:ascii="Palatino Linotype" w:hAnsi="Palatino Linotype"/>
          <w:i/>
          <w:u w:val="single"/>
          <w:lang w:val="fr-FR"/>
        </w:rPr>
        <w:t>Babilonie</w:t>
      </w:r>
      <w:r w:rsidRPr="000F1147">
        <w:rPr>
          <w:rFonts w:ascii="Palatino Linotype" w:hAnsi="Palatino Linotype"/>
          <w:lang w:val="fr-FR"/>
        </w:rPr>
        <w:t xml:space="preserve"> cum exercitu suo maximo </w:t>
      </w:r>
      <w:r w:rsidRPr="000F1147">
        <w:rPr>
          <w:rFonts w:ascii="Palatino Linotype" w:hAnsi="Palatino Linotype"/>
          <w:i/>
          <w:lang w:val="fr-FR"/>
        </w:rPr>
        <w:t>Armenos</w:t>
      </w:r>
      <w:r w:rsidRPr="000F1147">
        <w:rPr>
          <w:rFonts w:ascii="Palatino Linotype" w:hAnsi="Palatino Linotype"/>
          <w:lang w:val="fr-FR"/>
        </w:rPr>
        <w:t xml:space="preserve"> invasit; fratres vero illi propter guerrarum pericula et viarum discrimina metuentes ad </w:t>
      </w:r>
      <w:r w:rsidRPr="000F1147">
        <w:rPr>
          <w:rFonts w:ascii="Palatino Linotype" w:hAnsi="Palatino Linotype"/>
          <w:i/>
          <w:lang w:val="fr-FR"/>
        </w:rPr>
        <w:t>Tartarorum</w:t>
      </w:r>
      <w:r w:rsidRPr="000F1147">
        <w:rPr>
          <w:rFonts w:ascii="Palatino Linotype" w:hAnsi="Palatino Linotype"/>
          <w:lang w:val="fr-FR"/>
        </w:rPr>
        <w:t xml:space="preserve"> regem pervenire non posse, cum magistro Templi in </w:t>
      </w:r>
      <w:r w:rsidRPr="000F1147">
        <w:rPr>
          <w:rFonts w:ascii="Palatino Linotype" w:hAnsi="Palatino Linotype"/>
          <w:i/>
          <w:u w:val="single"/>
          <w:lang w:val="fr-FR"/>
        </w:rPr>
        <w:t>Armenia</w:t>
      </w:r>
      <w:r w:rsidRPr="000F1147">
        <w:rPr>
          <w:rFonts w:ascii="Palatino Linotype" w:hAnsi="Palatino Linotype"/>
          <w:lang w:val="fr-FR"/>
        </w:rPr>
        <w:t xml:space="preserve"> remanserunt; nam pluries fuerunt in mortis periculo constituti. Nuncii autem regis, se omnino periculo exponentes, cum laboribus maximis pervenerunt ad regem quem invenerunt in civitate que dicitur </w:t>
      </w:r>
      <w:r w:rsidRPr="000F1147">
        <w:rPr>
          <w:rFonts w:ascii="Palatino Linotype" w:hAnsi="Palatino Linotype"/>
          <w:i/>
          <w:u w:val="single"/>
          <w:lang w:val="fr-FR"/>
        </w:rPr>
        <w:t>Clemeinsu</w:t>
      </w:r>
      <w:r w:rsidRPr="000F1147">
        <w:rPr>
          <w:rFonts w:ascii="Palatino Linotype" w:hAnsi="Palatino Linotype"/>
          <w:lang w:val="fr-FR"/>
        </w:rPr>
        <w:t>.</w:t>
      </w:r>
    </w:p>
    <w:sectPr w:rsidR="000F1147" w:rsidRPr="000F1147" w:rsidSect="00C02216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0663" w:rsidRDefault="002D0663" w:rsidP="000F1147">
      <w:pPr>
        <w:spacing w:after="0" w:line="240" w:lineRule="auto"/>
      </w:pPr>
      <w:r>
        <w:separator/>
      </w:r>
    </w:p>
  </w:endnote>
  <w:endnote w:type="continuationSeparator" w:id="1">
    <w:p w:rsidR="002D0663" w:rsidRDefault="002D0663" w:rsidP="000F1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0663" w:rsidRDefault="002D0663" w:rsidP="000F1147">
      <w:pPr>
        <w:spacing w:after="0" w:line="240" w:lineRule="auto"/>
      </w:pPr>
      <w:r>
        <w:separator/>
      </w:r>
    </w:p>
  </w:footnote>
  <w:footnote w:type="continuationSeparator" w:id="1">
    <w:p w:rsidR="002D0663" w:rsidRDefault="002D0663" w:rsidP="000F11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02216"/>
    <w:rsid w:val="00024C55"/>
    <w:rsid w:val="000F1147"/>
    <w:rsid w:val="002D0663"/>
    <w:rsid w:val="006D52AB"/>
    <w:rsid w:val="008474F0"/>
    <w:rsid w:val="0095049A"/>
    <w:rsid w:val="00984FDE"/>
    <w:rsid w:val="00BB5438"/>
    <w:rsid w:val="00BF32F1"/>
    <w:rsid w:val="00C02216"/>
    <w:rsid w:val="00E60909"/>
    <w:rsid w:val="00FA6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F32F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0F1147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0F1147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0F1147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C6F69F-82F0-4ED0-93DC-428CC6ABA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2020-03-27T12:02:00Z</dcterms:created>
  <dcterms:modified xsi:type="dcterms:W3CDTF">2020-03-27T12:02:00Z</dcterms:modified>
</cp:coreProperties>
</file>