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575" w:rsidRPr="00E327F3" w:rsidRDefault="00E327F3" w:rsidP="00B6148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327F3">
        <w:rPr>
          <w:rFonts w:ascii="Palatino Linotype" w:hAnsi="Palatino Linotype"/>
          <w:b/>
          <w:u w:val="single"/>
        </w:rPr>
        <w:t>L, 14</w:t>
      </w:r>
    </w:p>
    <w:p w:rsidR="00E327F3" w:rsidRDefault="00E327F3" w:rsidP="00B6148D">
      <w:pPr>
        <w:spacing w:after="0" w:line="240" w:lineRule="auto"/>
        <w:jc w:val="both"/>
        <w:rPr>
          <w:rFonts w:ascii="Palatino Linotype" w:hAnsi="Palatino Linotype"/>
        </w:rPr>
      </w:pPr>
      <w:r w:rsidRPr="00E327F3">
        <w:rPr>
          <w:rFonts w:ascii="Palatino Linotype" w:hAnsi="Palatino Linotype"/>
        </w:rPr>
        <w:t xml:space="preserve">Quomodo se rexit dominus </w:t>
      </w:r>
      <w:r w:rsidRPr="00E327F3">
        <w:rPr>
          <w:rFonts w:ascii="Palatino Linotype" w:hAnsi="Palatino Linotype"/>
          <w:i/>
        </w:rPr>
        <w:t>Marchus</w:t>
      </w:r>
      <w:r w:rsidRPr="00E327F3">
        <w:rPr>
          <w:rFonts w:ascii="Palatino Linotype" w:hAnsi="Palatino Linotype"/>
        </w:rPr>
        <w:t xml:space="preserve"> in partibus illis.</w:t>
      </w:r>
    </w:p>
    <w:p w:rsidR="00E327F3" w:rsidRPr="00E327F3" w:rsidRDefault="00E327F3" w:rsidP="00B6148D">
      <w:pPr>
        <w:spacing w:after="0" w:line="240" w:lineRule="auto"/>
        <w:jc w:val="both"/>
        <w:rPr>
          <w:rFonts w:ascii="Palatino Linotype" w:hAnsi="Palatino Linotype"/>
        </w:rPr>
      </w:pPr>
    </w:p>
    <w:p w:rsidR="00E327F3" w:rsidRPr="00E327F3" w:rsidRDefault="00E327F3" w:rsidP="00B6148D">
      <w:pPr>
        <w:spacing w:after="0" w:line="240" w:lineRule="auto"/>
        <w:jc w:val="both"/>
        <w:rPr>
          <w:rFonts w:ascii="Palatino Linotype" w:hAnsi="Palatino Linotype"/>
        </w:rPr>
      </w:pPr>
      <w:r w:rsidRPr="00E327F3">
        <w:rPr>
          <w:rFonts w:ascii="Palatino Linotype" w:hAnsi="Palatino Linotype"/>
          <w:b/>
        </w:rPr>
        <w:t>[3]</w:t>
      </w:r>
      <w:r w:rsidRPr="00E327F3">
        <w:rPr>
          <w:rFonts w:ascii="Palatino Linotype" w:hAnsi="Palatino Linotype"/>
        </w:rPr>
        <w:t xml:space="preserve"> Et cum annis .XVII. continuis permanssisset in curia </w:t>
      </w:r>
      <w:r w:rsidRPr="00E327F3">
        <w:rPr>
          <w:rFonts w:ascii="Palatino Linotype" w:hAnsi="Palatino Linotype"/>
          <w:i/>
        </w:rPr>
        <w:t>Magni Canis</w:t>
      </w:r>
      <w:r w:rsidRPr="00E327F3">
        <w:rPr>
          <w:rFonts w:ascii="Palatino Linotype" w:hAnsi="Palatino Linotype"/>
        </w:rPr>
        <w:t xml:space="preserve">, ipsum per diversas mundi partes ut legatum et nuntium ire iussit. </w:t>
      </w:r>
      <w:r w:rsidRPr="00E327F3">
        <w:rPr>
          <w:rFonts w:ascii="Palatino Linotype" w:hAnsi="Palatino Linotype"/>
          <w:b/>
        </w:rPr>
        <w:t>[4]</w:t>
      </w:r>
      <w:r w:rsidRPr="00E327F3">
        <w:rPr>
          <w:rFonts w:ascii="Palatino Linotype" w:hAnsi="Palatino Linotype"/>
        </w:rPr>
        <w:t xml:space="preserve"> Hac ergo causa, quia multa perambulavit loca diversa miranda multa extraneosque et novos ritus hominum scivit, quia intente consideravit et vidit.</w:t>
      </w:r>
    </w:p>
    <w:sectPr w:rsidR="00E327F3" w:rsidRPr="00E327F3" w:rsidSect="00B6148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327F3"/>
    <w:rsid w:val="00B6148D"/>
    <w:rsid w:val="00C67575"/>
    <w:rsid w:val="00E32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6757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2020-03-25T07:52:00Z</dcterms:created>
  <dcterms:modified xsi:type="dcterms:W3CDTF">2020-03-25T07:52:00Z</dcterms:modified>
</cp:coreProperties>
</file>