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08" w:rsidRPr="00FE4208" w:rsidRDefault="00FE4208" w:rsidP="00267FE8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FE4208">
        <w:rPr>
          <w:rFonts w:ascii="Palatino Linotype" w:hAnsi="Palatino Linotype"/>
          <w:b/>
          <w:sz w:val="22"/>
          <w:szCs w:val="22"/>
          <w:u w:val="single"/>
        </w:rPr>
        <w:t>Fr1, 29</w:t>
      </w:r>
    </w:p>
    <w:p w:rsidR="00FE4208" w:rsidRPr="00833C04" w:rsidRDefault="00FE4208" w:rsidP="00267FE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 xml:space="preserve">XIX. chapitre de la noble cité de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Toris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FE4208" w:rsidRPr="00833C04" w:rsidRDefault="00FE4208" w:rsidP="00267FE8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FE4208" w:rsidRPr="00833C04" w:rsidRDefault="00FE4208" w:rsidP="00267FE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FE4208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Toris</w:t>
      </w:r>
      <w:r w:rsidRPr="00833C04">
        <w:rPr>
          <w:rFonts w:ascii="Palatino Linotype" w:hAnsi="Palatino Linotype"/>
          <w:sz w:val="22"/>
          <w:szCs w:val="22"/>
        </w:rPr>
        <w:t xml:space="preserve"> est une grant cité et noble, qui est en une province qui est appelee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Yrac</w:t>
      </w:r>
      <w:r w:rsidRPr="00833C04">
        <w:rPr>
          <w:rFonts w:ascii="Palatino Linotype" w:hAnsi="Palatino Linotype"/>
          <w:sz w:val="22"/>
          <w:szCs w:val="22"/>
        </w:rPr>
        <w:t xml:space="preserve">, et ausi a tel non, [en laquele] a pluseurs citez et chastiaus, mais pour ce que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Toris</w:t>
      </w:r>
      <w:r w:rsidRPr="00833C04">
        <w:rPr>
          <w:rFonts w:ascii="Palatino Linotype" w:hAnsi="Palatino Linotype"/>
          <w:sz w:val="22"/>
          <w:szCs w:val="22"/>
        </w:rPr>
        <w:t xml:space="preserve"> est la plus noble, vous conterai de son afaire. </w:t>
      </w:r>
      <w:r w:rsidRPr="00FE4208">
        <w:rPr>
          <w:rFonts w:ascii="Palatino Linotype" w:hAnsi="Palatino Linotype"/>
          <w:b/>
          <w:sz w:val="22"/>
          <w:szCs w:val="22"/>
        </w:rPr>
        <w:t>[2]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Il est voirs que les hommes de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Toris</w:t>
      </w:r>
      <w:r w:rsidRPr="00833C04">
        <w:rPr>
          <w:rFonts w:ascii="Palatino Linotype" w:hAnsi="Palatino Linotype"/>
          <w:sz w:val="22"/>
          <w:szCs w:val="22"/>
        </w:rPr>
        <w:t xml:space="preserve"> vivent de marcheandise [et d’ars], car il labourent de toutes manieres de </w:t>
      </w:r>
      <w:r w:rsidRPr="00FE4208">
        <w:rPr>
          <w:rFonts w:ascii="Palatino Linotype" w:hAnsi="Palatino Linotype"/>
          <w:smallCaps/>
          <w:sz w:val="22"/>
          <w:szCs w:val="22"/>
        </w:rPr>
        <w:t>dras</w:t>
      </w:r>
      <w:r w:rsidRPr="00833C04">
        <w:rPr>
          <w:rFonts w:ascii="Palatino Linotype" w:hAnsi="Palatino Linotype"/>
          <w:sz w:val="22"/>
          <w:szCs w:val="22"/>
        </w:rPr>
        <w:t xml:space="preserve"> de </w:t>
      </w:r>
      <w:r w:rsidRPr="00FE4208">
        <w:rPr>
          <w:rFonts w:ascii="Palatino Linotype" w:hAnsi="Palatino Linotype"/>
          <w:smallCaps/>
          <w:sz w:val="22"/>
          <w:szCs w:val="22"/>
        </w:rPr>
        <w:t>soie</w:t>
      </w:r>
      <w:r w:rsidRPr="00833C04">
        <w:rPr>
          <w:rFonts w:ascii="Palatino Linotype" w:hAnsi="Palatino Linotype"/>
          <w:sz w:val="22"/>
          <w:szCs w:val="22"/>
        </w:rPr>
        <w:t xml:space="preserve"> dorez de pluseurs façons, moult biaus et de grant vaillance.</w:t>
      </w:r>
    </w:p>
    <w:p w:rsidR="00FE4208" w:rsidRPr="00833C04" w:rsidRDefault="00FE4208" w:rsidP="00267FE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FE4208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La cité est [si] bien assise que d’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Ynde</w:t>
      </w:r>
      <w:r w:rsidRPr="00833C04">
        <w:rPr>
          <w:rFonts w:ascii="Palatino Linotype" w:hAnsi="Palatino Linotype"/>
          <w:sz w:val="22"/>
          <w:szCs w:val="22"/>
        </w:rPr>
        <w:t xml:space="preserve"> et de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Baudas</w:t>
      </w:r>
      <w:r w:rsidRPr="00833C04">
        <w:rPr>
          <w:rFonts w:ascii="Palatino Linotype" w:hAnsi="Palatino Linotype"/>
          <w:sz w:val="22"/>
          <w:szCs w:val="22"/>
        </w:rPr>
        <w:t xml:space="preserve"> et de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Masal</w:t>
      </w:r>
      <w:r w:rsidRPr="00833C04">
        <w:rPr>
          <w:rFonts w:ascii="Palatino Linotype" w:hAnsi="Palatino Linotype"/>
          <w:sz w:val="22"/>
          <w:szCs w:val="22"/>
        </w:rPr>
        <w:t xml:space="preserve"> et de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Tremesor</w:t>
      </w:r>
      <w:r w:rsidRPr="00833C04">
        <w:rPr>
          <w:rFonts w:ascii="Palatino Linotype" w:hAnsi="Palatino Linotype"/>
          <w:sz w:val="22"/>
          <w:szCs w:val="22"/>
        </w:rPr>
        <w:t xml:space="preserve"> et de mains autres lieus y viennent les marcheandises, si que pour ce y vient maint marcheant latin et proprement Genevois pour acheter et pour faire leur afaires, car on y trueve aussi moult grant quantité de perrerie. </w:t>
      </w:r>
      <w:r w:rsidRPr="00FE4208">
        <w:rPr>
          <w:rFonts w:ascii="Palatino Linotype" w:hAnsi="Palatino Linotype"/>
          <w:b/>
          <w:sz w:val="22"/>
          <w:szCs w:val="22"/>
        </w:rPr>
        <w:t>[4]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Ele est citez que li marcheant y font moult de leur pourfit. </w:t>
      </w:r>
      <w:r w:rsidRPr="00FE4208">
        <w:rPr>
          <w:rFonts w:ascii="Palatino Linotype" w:hAnsi="Palatino Linotype"/>
          <w:b/>
          <w:sz w:val="22"/>
          <w:szCs w:val="22"/>
        </w:rPr>
        <w:t>[5]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Ce sont gens de povre afaire et sont moult mellés de maintes manieres: il y a </w:t>
      </w:r>
      <w:r w:rsidRPr="00FE4208">
        <w:rPr>
          <w:rFonts w:ascii="Palatino Linotype" w:hAnsi="Palatino Linotype"/>
          <w:i/>
          <w:sz w:val="22"/>
          <w:szCs w:val="22"/>
        </w:rPr>
        <w:t>Ermins</w:t>
      </w:r>
      <w:r w:rsidRPr="00833C04">
        <w:rPr>
          <w:rFonts w:ascii="Palatino Linotype" w:hAnsi="Palatino Linotype"/>
          <w:sz w:val="22"/>
          <w:szCs w:val="22"/>
        </w:rPr>
        <w:t xml:space="preserve">, </w:t>
      </w:r>
      <w:r w:rsidRPr="00FE4208">
        <w:rPr>
          <w:rFonts w:ascii="Palatino Linotype" w:hAnsi="Palatino Linotype"/>
          <w:i/>
          <w:sz w:val="22"/>
          <w:szCs w:val="22"/>
        </w:rPr>
        <w:t>Nestorins</w:t>
      </w:r>
      <w:r w:rsidRPr="00833C04">
        <w:rPr>
          <w:rFonts w:ascii="Palatino Linotype" w:hAnsi="Palatino Linotype"/>
          <w:sz w:val="22"/>
          <w:szCs w:val="22"/>
        </w:rPr>
        <w:t xml:space="preserve">, </w:t>
      </w:r>
      <w:r w:rsidRPr="00FE4208">
        <w:rPr>
          <w:rFonts w:ascii="Palatino Linotype" w:hAnsi="Palatino Linotype"/>
          <w:i/>
          <w:sz w:val="22"/>
          <w:szCs w:val="22"/>
        </w:rPr>
        <w:t>Jacopins</w:t>
      </w:r>
      <w:r w:rsidRPr="00833C04">
        <w:rPr>
          <w:rFonts w:ascii="Palatino Linotype" w:hAnsi="Palatino Linotype"/>
          <w:sz w:val="22"/>
          <w:szCs w:val="22"/>
        </w:rPr>
        <w:t xml:space="preserve">, </w:t>
      </w:r>
      <w:r w:rsidRPr="00FE4208">
        <w:rPr>
          <w:rFonts w:ascii="Palatino Linotype" w:hAnsi="Palatino Linotype"/>
          <w:i/>
          <w:sz w:val="22"/>
          <w:szCs w:val="22"/>
        </w:rPr>
        <w:t>Jorgains</w:t>
      </w:r>
      <w:r w:rsidRPr="00833C04">
        <w:rPr>
          <w:rFonts w:ascii="Palatino Linotype" w:hAnsi="Palatino Linotype"/>
          <w:sz w:val="22"/>
          <w:szCs w:val="22"/>
        </w:rPr>
        <w:t xml:space="preserve">, </w:t>
      </w:r>
      <w:r w:rsidRPr="00FE4208">
        <w:rPr>
          <w:rFonts w:ascii="Palatino Linotype" w:hAnsi="Palatino Linotype"/>
          <w:i/>
          <w:sz w:val="22"/>
          <w:szCs w:val="22"/>
        </w:rPr>
        <w:t>Perssanz</w:t>
      </w:r>
      <w:r w:rsidRPr="00833C04">
        <w:rPr>
          <w:rFonts w:ascii="Palatino Linotype" w:hAnsi="Palatino Linotype"/>
          <w:sz w:val="22"/>
          <w:szCs w:val="22"/>
        </w:rPr>
        <w:t xml:space="preserve">, et encore hommes qui aourent </w:t>
      </w:r>
      <w:r w:rsidRPr="00FE4208">
        <w:rPr>
          <w:rFonts w:ascii="Palatino Linotype" w:hAnsi="Palatino Linotype"/>
          <w:i/>
          <w:sz w:val="22"/>
          <w:szCs w:val="22"/>
        </w:rPr>
        <w:t>Mahommés</w:t>
      </w:r>
      <w:r w:rsidRPr="00833C04">
        <w:rPr>
          <w:rFonts w:ascii="Palatino Linotype" w:hAnsi="Palatino Linotype"/>
          <w:sz w:val="22"/>
          <w:szCs w:val="22"/>
        </w:rPr>
        <w:t> – c’est le pueple de la cité et sont moult mauvaises gens, et s’apelent [</w:t>
      </w:r>
      <w:r w:rsidRPr="00FE4208">
        <w:rPr>
          <w:rFonts w:ascii="Palatino Linotype" w:hAnsi="Palatino Linotype"/>
          <w:i/>
          <w:sz w:val="22"/>
          <w:szCs w:val="22"/>
        </w:rPr>
        <w:t>Torizi</w:t>
      </w:r>
      <w:r w:rsidRPr="00833C04">
        <w:rPr>
          <w:rFonts w:ascii="Palatino Linotype" w:hAnsi="Palatino Linotype"/>
          <w:sz w:val="22"/>
          <w:szCs w:val="22"/>
        </w:rPr>
        <w:t xml:space="preserve">]. </w:t>
      </w:r>
      <w:r w:rsidRPr="00FE4208">
        <w:rPr>
          <w:rFonts w:ascii="Palatino Linotype" w:hAnsi="Palatino Linotype"/>
          <w:b/>
          <w:sz w:val="22"/>
          <w:szCs w:val="22"/>
        </w:rPr>
        <w:t>[6]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La vile est toute avironnee de biaus jardins et delitables, plains de moult biaus fruis de pluisours manieres, moult bons et assez de grant maniere.</w:t>
      </w:r>
    </w:p>
    <w:p w:rsidR="00DF79AA" w:rsidRDefault="00FE4208" w:rsidP="00267FE8">
      <w:pPr>
        <w:pStyle w:val="Texteprformat"/>
        <w:jc w:val="both"/>
      </w:pPr>
      <w:r w:rsidRPr="00FE4208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Or laisserons de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Toris</w:t>
      </w:r>
      <w:r w:rsidRPr="00833C04">
        <w:rPr>
          <w:rFonts w:ascii="Palatino Linotype" w:hAnsi="Palatino Linotype"/>
          <w:sz w:val="22"/>
          <w:szCs w:val="22"/>
        </w:rPr>
        <w:t xml:space="preserve">, si vous conterai de la grant province de </w:t>
      </w:r>
      <w:r w:rsidRPr="00FE4208">
        <w:rPr>
          <w:rFonts w:ascii="Palatino Linotype" w:hAnsi="Palatino Linotype"/>
          <w:i/>
          <w:sz w:val="22"/>
          <w:szCs w:val="22"/>
          <w:u w:val="single"/>
        </w:rPr>
        <w:t>Persse</w:t>
      </w:r>
      <w:r w:rsidRPr="00833C04">
        <w:rPr>
          <w:rFonts w:ascii="Palatino Linotype" w:hAnsi="Palatino Linotype"/>
          <w:sz w:val="22"/>
          <w:szCs w:val="22"/>
        </w:rPr>
        <w:t>.</w:t>
      </w:r>
    </w:p>
    <w:sectPr w:rsidR="00DF79AA" w:rsidSect="00FE420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E4208"/>
    <w:rsid w:val="00267FE8"/>
    <w:rsid w:val="00DF79AA"/>
    <w:rsid w:val="00E34D76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D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FE420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B4DA6-C0EC-4F72-A530-3F262039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2020-03-26T08:12:00Z</dcterms:created>
  <dcterms:modified xsi:type="dcterms:W3CDTF">2020-03-26T08:12:00Z</dcterms:modified>
</cp:coreProperties>
</file>