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C91" w:rsidRPr="0068416A" w:rsidRDefault="007B0C91" w:rsidP="00811D1A">
      <w:pPr>
        <w:spacing w:after="0" w:line="240" w:lineRule="auto"/>
        <w:jc w:val="both"/>
        <w:rPr>
          <w:rFonts w:ascii="Palatino Linotype" w:hAnsi="Palatino Linotype"/>
          <w:b/>
          <w:u w:val="single"/>
          <w:lang w:val="fr-FR"/>
        </w:rPr>
      </w:pPr>
      <w:r w:rsidRPr="0068416A">
        <w:rPr>
          <w:rFonts w:ascii="Palatino Linotype" w:hAnsi="Palatino Linotype"/>
          <w:b/>
          <w:u w:val="single"/>
          <w:lang w:val="fr-FR"/>
        </w:rPr>
        <w:t>L, 52</w:t>
      </w:r>
    </w:p>
    <w:p w:rsidR="007B0C91" w:rsidRPr="007C6D46" w:rsidRDefault="007B0C91" w:rsidP="00811D1A">
      <w:pPr>
        <w:spacing w:after="0" w:line="240" w:lineRule="auto"/>
        <w:jc w:val="both"/>
        <w:rPr>
          <w:rFonts w:ascii="Palatino Linotype" w:hAnsi="Palatino Linotype"/>
          <w:lang w:val="fr-FR"/>
        </w:rPr>
      </w:pPr>
      <w:r w:rsidRPr="007C6D46">
        <w:rPr>
          <w:rFonts w:ascii="Palatino Linotype" w:hAnsi="Palatino Linotype"/>
          <w:lang w:val="fr-FR"/>
        </w:rPr>
        <w:t xml:space="preserve">De provincia </w:t>
      </w:r>
      <w:r w:rsidRPr="007C6D46">
        <w:rPr>
          <w:rFonts w:ascii="Palatino Linotype" w:hAnsi="Palatino Linotype"/>
          <w:i/>
          <w:u w:val="single"/>
          <w:lang w:val="fr-FR"/>
        </w:rPr>
        <w:t>Tangut</w:t>
      </w:r>
      <w:r w:rsidRPr="007C6D46">
        <w:rPr>
          <w:rFonts w:ascii="Palatino Linotype" w:hAnsi="Palatino Linotype"/>
          <w:lang w:val="fr-FR"/>
        </w:rPr>
        <w:t>; et de modo eorum adorandi et de sepulturis.</w:t>
      </w:r>
    </w:p>
    <w:p w:rsidR="007B0C91" w:rsidRPr="007C6D46" w:rsidRDefault="007B0C91" w:rsidP="00811D1A">
      <w:pPr>
        <w:spacing w:after="0" w:line="240" w:lineRule="auto"/>
        <w:jc w:val="both"/>
        <w:rPr>
          <w:rFonts w:ascii="Palatino Linotype" w:hAnsi="Palatino Linotype"/>
          <w:lang w:val="fr-FR"/>
        </w:rPr>
      </w:pPr>
    </w:p>
    <w:p w:rsidR="007B0C91" w:rsidRPr="007C6D46" w:rsidRDefault="007B0C91" w:rsidP="00811D1A">
      <w:pPr>
        <w:spacing w:after="0" w:line="240" w:lineRule="auto"/>
        <w:jc w:val="both"/>
        <w:rPr>
          <w:rFonts w:ascii="Palatino Linotype" w:hAnsi="Palatino Linotype"/>
          <w:lang w:val="fr-FR"/>
        </w:rPr>
      </w:pPr>
      <w:r w:rsidRPr="007C6D46">
        <w:rPr>
          <w:rFonts w:ascii="Palatino Linotype" w:hAnsi="Palatino Linotype"/>
          <w:b/>
          <w:lang w:val="fr-FR"/>
        </w:rPr>
        <w:t>[1]</w:t>
      </w:r>
      <w:r w:rsidRPr="007C6D46">
        <w:rPr>
          <w:rFonts w:ascii="Palatino Linotype" w:hAnsi="Palatino Linotype"/>
          <w:lang w:val="fr-FR"/>
        </w:rPr>
        <w:t xml:space="preserve"> Transactis hiis .30. dietis per desertum pervenitur ad civitatem quandam dictam </w:t>
      </w:r>
      <w:r w:rsidRPr="007C6D46">
        <w:rPr>
          <w:rFonts w:ascii="Palatino Linotype" w:hAnsi="Palatino Linotype"/>
          <w:i/>
          <w:u w:val="single"/>
          <w:lang w:val="fr-FR"/>
        </w:rPr>
        <w:t>Saccion</w:t>
      </w:r>
      <w:r w:rsidRPr="007C6D46">
        <w:rPr>
          <w:rFonts w:ascii="Palatino Linotype" w:hAnsi="Palatino Linotype"/>
          <w:lang w:val="fr-FR"/>
        </w:rPr>
        <w:t xml:space="preserve">, et est in provincia dicta </w:t>
      </w:r>
      <w:r w:rsidRPr="007C6D46">
        <w:rPr>
          <w:rFonts w:ascii="Palatino Linotype" w:hAnsi="Palatino Linotype"/>
          <w:i/>
          <w:u w:val="single"/>
          <w:lang w:val="fr-FR"/>
        </w:rPr>
        <w:t>Tangut</w:t>
      </w:r>
      <w:r w:rsidRPr="007C6D46">
        <w:rPr>
          <w:rFonts w:ascii="Palatino Linotype" w:hAnsi="Palatino Linotype"/>
          <w:lang w:val="fr-FR"/>
        </w:rPr>
        <w:t xml:space="preserve">. </w:t>
      </w:r>
      <w:r w:rsidRPr="007C6D46">
        <w:rPr>
          <w:rFonts w:ascii="Palatino Linotype" w:hAnsi="Palatino Linotype"/>
          <w:b/>
          <w:lang w:val="fr-FR"/>
        </w:rPr>
        <w:t>[2]</w:t>
      </w:r>
      <w:r w:rsidRPr="007C6D46">
        <w:rPr>
          <w:rFonts w:ascii="Palatino Linotype" w:hAnsi="Palatino Linotype"/>
          <w:lang w:val="fr-FR"/>
        </w:rPr>
        <w:t xml:space="preserve"> Et sunt gentes </w:t>
      </w:r>
      <w:r w:rsidRPr="0043335A">
        <w:rPr>
          <w:rFonts w:ascii="Palatino Linotype" w:hAnsi="Palatino Linotype"/>
          <w:smallCaps/>
          <w:lang w:val="fr-FR"/>
        </w:rPr>
        <w:t>ydolatre</w:t>
      </w:r>
      <w:r w:rsidRPr="007C6D46">
        <w:rPr>
          <w:rFonts w:ascii="Palatino Linotype" w:hAnsi="Palatino Linotype"/>
          <w:lang w:val="fr-FR"/>
        </w:rPr>
        <w:t xml:space="preserve">; sunt tamen aliqui </w:t>
      </w:r>
      <w:r w:rsidRPr="0043335A">
        <w:rPr>
          <w:rFonts w:ascii="Palatino Linotype" w:hAnsi="Palatino Linotype"/>
          <w:i/>
          <w:lang w:val="fr-FR"/>
        </w:rPr>
        <w:t>Turchi</w:t>
      </w:r>
      <w:r w:rsidRPr="007C6D46">
        <w:rPr>
          <w:rFonts w:ascii="Palatino Linotype" w:hAnsi="Palatino Linotype"/>
          <w:lang w:val="fr-FR"/>
        </w:rPr>
        <w:t xml:space="preserve">, </w:t>
      </w:r>
      <w:r w:rsidRPr="0043335A">
        <w:rPr>
          <w:rFonts w:ascii="Palatino Linotype" w:hAnsi="Palatino Linotype"/>
          <w:i/>
          <w:lang w:val="fr-FR"/>
        </w:rPr>
        <w:t>christiani nestorini</w:t>
      </w:r>
      <w:r w:rsidRPr="007C6D46">
        <w:rPr>
          <w:rFonts w:ascii="Palatino Linotype" w:hAnsi="Palatino Linotype"/>
          <w:lang w:val="fr-FR"/>
        </w:rPr>
        <w:t xml:space="preserve"> et eciam aliqui </w:t>
      </w:r>
      <w:r w:rsidRPr="0043335A">
        <w:rPr>
          <w:rFonts w:ascii="Palatino Linotype" w:hAnsi="Palatino Linotype"/>
          <w:i/>
          <w:lang w:val="fr-FR"/>
        </w:rPr>
        <w:t>Sarraceni</w:t>
      </w:r>
      <w:r w:rsidRPr="007C6D46">
        <w:rPr>
          <w:rFonts w:ascii="Palatino Linotype" w:hAnsi="Palatino Linotype"/>
          <w:lang w:val="fr-FR"/>
        </w:rPr>
        <w:t xml:space="preserve">. </w:t>
      </w:r>
      <w:r w:rsidRPr="0043335A">
        <w:rPr>
          <w:rFonts w:ascii="Palatino Linotype" w:hAnsi="Palatino Linotype"/>
          <w:smallCaps/>
          <w:lang w:val="fr-FR"/>
        </w:rPr>
        <w:t>Ydolatre</w:t>
      </w:r>
      <w:r w:rsidRPr="007C6D46">
        <w:rPr>
          <w:rFonts w:ascii="Palatino Linotype" w:hAnsi="Palatino Linotype"/>
          <w:lang w:val="fr-FR"/>
        </w:rPr>
        <w:t xml:space="preserve"> vero habent proprium ydeoma. </w:t>
      </w:r>
      <w:r w:rsidRPr="007C6D46">
        <w:rPr>
          <w:rFonts w:ascii="Palatino Linotype" w:hAnsi="Palatino Linotype"/>
          <w:b/>
          <w:lang w:val="fr-FR"/>
        </w:rPr>
        <w:t>[3]</w:t>
      </w:r>
      <w:r w:rsidRPr="007C6D46">
        <w:rPr>
          <w:rFonts w:ascii="Palatino Linotype" w:hAnsi="Palatino Linotype"/>
          <w:lang w:val="fr-FR"/>
        </w:rPr>
        <w:t xml:space="preserve"> Et est civitas hec inter </w:t>
      </w:r>
      <w:r w:rsidRPr="0043335A">
        <w:rPr>
          <w:rFonts w:ascii="Palatino Linotype" w:hAnsi="Palatino Linotype"/>
          <w:smallCaps/>
          <w:lang w:val="fr-FR"/>
        </w:rPr>
        <w:t>oriens</w:t>
      </w:r>
      <w:r w:rsidRPr="007C6D46">
        <w:rPr>
          <w:rFonts w:ascii="Palatino Linotype" w:hAnsi="Palatino Linotype"/>
          <w:lang w:val="fr-FR"/>
        </w:rPr>
        <w:t xml:space="preserve"> et </w:t>
      </w:r>
      <w:r w:rsidRPr="0043335A">
        <w:rPr>
          <w:rFonts w:ascii="Palatino Linotype" w:hAnsi="Palatino Linotype"/>
          <w:smallCaps/>
          <w:lang w:val="fr-FR"/>
        </w:rPr>
        <w:t>grecum</w:t>
      </w:r>
      <w:r w:rsidRPr="007C6D46">
        <w:rPr>
          <w:rFonts w:ascii="Palatino Linotype" w:hAnsi="Palatino Linotype"/>
          <w:lang w:val="fr-FR"/>
        </w:rPr>
        <w:t xml:space="preserve">. </w:t>
      </w:r>
      <w:r w:rsidRPr="007C6D46">
        <w:rPr>
          <w:rFonts w:ascii="Palatino Linotype" w:hAnsi="Palatino Linotype"/>
          <w:b/>
          <w:lang w:val="fr-FR"/>
        </w:rPr>
        <w:t>[4]</w:t>
      </w:r>
      <w:r w:rsidRPr="007C6D46">
        <w:rPr>
          <w:rFonts w:ascii="Palatino Linotype" w:hAnsi="Palatino Linotype"/>
          <w:lang w:val="fr-FR"/>
        </w:rPr>
        <w:t xml:space="preserve"> Non sunt homines mercatores sed vivunt ex fructibus terre. </w:t>
      </w:r>
      <w:r w:rsidRPr="007C6D46">
        <w:rPr>
          <w:rFonts w:ascii="Palatino Linotype" w:hAnsi="Palatino Linotype"/>
          <w:b/>
          <w:lang w:val="fr-FR"/>
        </w:rPr>
        <w:t>[5]</w:t>
      </w:r>
      <w:r w:rsidRPr="007C6D46">
        <w:rPr>
          <w:rFonts w:ascii="Palatino Linotype" w:hAnsi="Palatino Linotype"/>
          <w:lang w:val="fr-FR"/>
        </w:rPr>
        <w:t xml:space="preserve"> Habent sua monasteria et ecclesias omnia plena </w:t>
      </w:r>
      <w:r w:rsidRPr="0043335A">
        <w:rPr>
          <w:rFonts w:ascii="Palatino Linotype" w:hAnsi="Palatino Linotype"/>
          <w:smallCaps/>
          <w:lang w:val="fr-FR"/>
        </w:rPr>
        <w:t>ydolis</w:t>
      </w:r>
      <w:r w:rsidRPr="007C6D46">
        <w:rPr>
          <w:rFonts w:ascii="Palatino Linotype" w:hAnsi="Palatino Linotype"/>
          <w:lang w:val="fr-FR"/>
        </w:rPr>
        <w:t xml:space="preserve"> diversarum manerierum, quibus faciunt sacrificia multa et eis maxime reverentur. </w:t>
      </w:r>
      <w:r w:rsidRPr="007C6D46">
        <w:rPr>
          <w:rFonts w:ascii="Palatino Linotype" w:hAnsi="Palatino Linotype"/>
          <w:b/>
          <w:lang w:val="fr-FR"/>
        </w:rPr>
        <w:t>[6]</w:t>
      </w:r>
      <w:r w:rsidRPr="007C6D46">
        <w:rPr>
          <w:rFonts w:ascii="Palatino Linotype" w:hAnsi="Palatino Linotype"/>
          <w:lang w:val="fr-FR"/>
        </w:rPr>
        <w:t xml:space="preserve"> Cum nascitur infans, statim faciunt nutrire </w:t>
      </w:r>
      <w:r w:rsidRPr="0043335A">
        <w:rPr>
          <w:rFonts w:ascii="Palatino Linotype" w:hAnsi="Palatino Linotype"/>
          <w:smallCaps/>
          <w:lang w:val="fr-FR"/>
        </w:rPr>
        <w:t>arietem</w:t>
      </w:r>
      <w:r w:rsidRPr="007C6D46">
        <w:rPr>
          <w:rFonts w:ascii="Palatino Linotype" w:hAnsi="Palatino Linotype"/>
          <w:lang w:val="fr-FR"/>
        </w:rPr>
        <w:t xml:space="preserve"> unum in honorem </w:t>
      </w:r>
      <w:r w:rsidRPr="0043335A">
        <w:rPr>
          <w:rFonts w:ascii="Palatino Linotype" w:hAnsi="Palatino Linotype"/>
          <w:smallCaps/>
          <w:lang w:val="fr-FR"/>
        </w:rPr>
        <w:t>ydoli</w:t>
      </w:r>
      <w:r w:rsidRPr="007C6D46">
        <w:rPr>
          <w:rFonts w:ascii="Palatino Linotype" w:hAnsi="Palatino Linotype"/>
          <w:lang w:val="fr-FR"/>
        </w:rPr>
        <w:t xml:space="preserve">; et, completo anno, in die festivitatis </w:t>
      </w:r>
      <w:r w:rsidRPr="0043335A">
        <w:rPr>
          <w:rFonts w:ascii="Palatino Linotype" w:hAnsi="Palatino Linotype"/>
          <w:smallCaps/>
          <w:lang w:val="fr-FR"/>
        </w:rPr>
        <w:t>ydoli</w:t>
      </w:r>
      <w:r w:rsidRPr="007C6D46">
        <w:rPr>
          <w:rFonts w:ascii="Palatino Linotype" w:hAnsi="Palatino Linotype"/>
          <w:lang w:val="fr-FR"/>
        </w:rPr>
        <w:t xml:space="preserve"> </w:t>
      </w:r>
      <w:r w:rsidRPr="0043335A">
        <w:rPr>
          <w:rFonts w:ascii="Palatino Linotype" w:hAnsi="Palatino Linotype"/>
          <w:smallCaps/>
          <w:lang w:val="fr-FR"/>
        </w:rPr>
        <w:t>arietem</w:t>
      </w:r>
      <w:r w:rsidRPr="007C6D46">
        <w:rPr>
          <w:rFonts w:ascii="Palatino Linotype" w:hAnsi="Palatino Linotype"/>
          <w:lang w:val="fr-FR"/>
        </w:rPr>
        <w:t xml:space="preserve"> illum cum infante coram </w:t>
      </w:r>
      <w:r w:rsidRPr="0043335A">
        <w:rPr>
          <w:rFonts w:ascii="Palatino Linotype" w:hAnsi="Palatino Linotype"/>
          <w:smallCaps/>
          <w:lang w:val="fr-FR"/>
        </w:rPr>
        <w:t>ydolo</w:t>
      </w:r>
      <w:r w:rsidRPr="007C6D46">
        <w:rPr>
          <w:rFonts w:ascii="Palatino Linotype" w:hAnsi="Palatino Linotype"/>
          <w:lang w:val="fr-FR"/>
        </w:rPr>
        <w:t xml:space="preserve"> portant eique maxime reverentur; deinde hunc </w:t>
      </w:r>
      <w:r w:rsidRPr="0043335A">
        <w:rPr>
          <w:rFonts w:ascii="Palatino Linotype" w:hAnsi="Palatino Linotype"/>
          <w:smallCaps/>
          <w:lang w:val="fr-FR"/>
        </w:rPr>
        <w:t>arietem</w:t>
      </w:r>
      <w:r w:rsidRPr="007C6D46">
        <w:rPr>
          <w:rFonts w:ascii="Palatino Linotype" w:hAnsi="Palatino Linotype"/>
          <w:lang w:val="fr-FR"/>
        </w:rPr>
        <w:t xml:space="preserve"> coctum coram </w:t>
      </w:r>
      <w:r w:rsidRPr="0043335A">
        <w:rPr>
          <w:rFonts w:ascii="Palatino Linotype" w:hAnsi="Palatino Linotype"/>
          <w:smallCaps/>
          <w:lang w:val="fr-FR"/>
        </w:rPr>
        <w:t>ydolo</w:t>
      </w:r>
      <w:r w:rsidRPr="007C6D46">
        <w:rPr>
          <w:rFonts w:ascii="Palatino Linotype" w:hAnsi="Palatino Linotype"/>
          <w:lang w:val="fr-FR"/>
        </w:rPr>
        <w:t xml:space="preserve"> reverenter portant, eumque ibi stare permittunt quousque officium </w:t>
      </w:r>
      <w:r w:rsidRPr="0043335A">
        <w:rPr>
          <w:rFonts w:ascii="Palatino Linotype" w:hAnsi="Palatino Linotype"/>
          <w:smallCaps/>
          <w:lang w:val="fr-FR"/>
        </w:rPr>
        <w:t>ydolo</w:t>
      </w:r>
      <w:r w:rsidRPr="007C6D46">
        <w:rPr>
          <w:rFonts w:ascii="Palatino Linotype" w:hAnsi="Palatino Linotype"/>
          <w:lang w:val="fr-FR"/>
        </w:rPr>
        <w:t xml:space="preserve"> fecerint, orationesque pro eorum infante porrexerint. Et tunc dicunt </w:t>
      </w:r>
      <w:r w:rsidRPr="0043335A">
        <w:rPr>
          <w:rFonts w:ascii="Palatino Linotype" w:hAnsi="Palatino Linotype"/>
          <w:smallCaps/>
          <w:lang w:val="fr-FR"/>
        </w:rPr>
        <w:t>ydolum</w:t>
      </w:r>
      <w:r w:rsidRPr="007C6D46">
        <w:rPr>
          <w:rFonts w:ascii="Palatino Linotype" w:hAnsi="Palatino Linotype"/>
          <w:lang w:val="fr-FR"/>
        </w:rPr>
        <w:t xml:space="preserve"> commedisse substantiam talium carnium, et ideo eas auferunt domumque reportant; et invitatis parentibus et amicis ipsas festive commedunt reverenter. </w:t>
      </w:r>
      <w:r w:rsidRPr="007C6D46">
        <w:rPr>
          <w:rFonts w:ascii="Palatino Linotype" w:hAnsi="Palatino Linotype"/>
          <w:b/>
          <w:lang w:val="fr-FR"/>
        </w:rPr>
        <w:t>[7]</w:t>
      </w:r>
      <w:r w:rsidRPr="007C6D46">
        <w:rPr>
          <w:rFonts w:ascii="Palatino Linotype" w:hAnsi="Palatino Linotype"/>
          <w:lang w:val="fr-FR"/>
        </w:rPr>
        <w:t xml:space="preserve"> Verum de hoc tali </w:t>
      </w:r>
      <w:r w:rsidRPr="0043335A">
        <w:rPr>
          <w:rFonts w:ascii="Palatino Linotype" w:hAnsi="Palatino Linotype"/>
          <w:smallCaps/>
          <w:lang w:val="fr-FR"/>
        </w:rPr>
        <w:t>ariete</w:t>
      </w:r>
      <w:r w:rsidRPr="007C6D46">
        <w:rPr>
          <w:rFonts w:ascii="Palatino Linotype" w:hAnsi="Palatino Linotype"/>
          <w:lang w:val="fr-FR"/>
        </w:rPr>
        <w:t xml:space="preserve"> habet sacerdos caput, pedes, interiora et pelles, et aliquod de carnibus. </w:t>
      </w:r>
      <w:r w:rsidRPr="007C6D46">
        <w:rPr>
          <w:rFonts w:ascii="Palatino Linotype" w:hAnsi="Palatino Linotype"/>
        </w:rPr>
        <w:t xml:space="preserve">Comestis vero carnibus recolligunt universa ossa easque sollempniter reservant. </w:t>
      </w:r>
      <w:r w:rsidRPr="007C6D46">
        <w:rPr>
          <w:rFonts w:ascii="Palatino Linotype" w:hAnsi="Palatino Linotype"/>
          <w:b/>
        </w:rPr>
        <w:t>[8]</w:t>
      </w:r>
      <w:r w:rsidRPr="007C6D46">
        <w:rPr>
          <w:rFonts w:ascii="Palatino Linotype" w:hAnsi="Palatino Linotype"/>
        </w:rPr>
        <w:t xml:space="preserve"> Omnium colentium </w:t>
      </w:r>
      <w:r w:rsidRPr="0043335A">
        <w:rPr>
          <w:rFonts w:ascii="Palatino Linotype" w:hAnsi="Palatino Linotype"/>
          <w:smallCaps/>
        </w:rPr>
        <w:t>ydola</w:t>
      </w:r>
      <w:r w:rsidRPr="007C6D46">
        <w:rPr>
          <w:rFonts w:ascii="Palatino Linotype" w:hAnsi="Palatino Linotype"/>
        </w:rPr>
        <w:t xml:space="preserve"> moris est comburere corpora mortuorum: quod hoc modo faciunt. In via per quam portari debet funus, in aliquibus locis, faciunt domunculas ornatas </w:t>
      </w:r>
      <w:r w:rsidRPr="0043335A">
        <w:rPr>
          <w:rFonts w:ascii="Palatino Linotype" w:hAnsi="Palatino Linotype"/>
          <w:smallCaps/>
        </w:rPr>
        <w:t>pannis</w:t>
      </w:r>
      <w:r w:rsidRPr="007C6D46">
        <w:rPr>
          <w:rFonts w:ascii="Palatino Linotype" w:hAnsi="Palatino Linotype"/>
        </w:rPr>
        <w:t xml:space="preserve"> aureis et sericeis secundum eorum posse; ad has perveniunt ferendo corpus, et ipsum deponunt; et ante ipsum prosternunt </w:t>
      </w:r>
      <w:r w:rsidRPr="0043335A">
        <w:rPr>
          <w:rFonts w:ascii="Palatino Linotype" w:hAnsi="Palatino Linotype"/>
          <w:smallCaps/>
        </w:rPr>
        <w:t>vinum</w:t>
      </w:r>
      <w:r w:rsidRPr="007C6D46">
        <w:rPr>
          <w:rFonts w:ascii="Palatino Linotype" w:hAnsi="Palatino Linotype"/>
        </w:rPr>
        <w:t xml:space="preserve"> et victualia multa, dicentes quod tali honore recipietur in alio mundo. </w:t>
      </w:r>
      <w:r w:rsidRPr="007C6D46">
        <w:rPr>
          <w:rFonts w:ascii="Palatino Linotype" w:hAnsi="Palatino Linotype"/>
          <w:b/>
          <w:lang w:val="fr-FR"/>
        </w:rPr>
        <w:t>[9]</w:t>
      </w:r>
      <w:r w:rsidRPr="007C6D46">
        <w:rPr>
          <w:rFonts w:ascii="Palatino Linotype" w:hAnsi="Palatino Linotype"/>
          <w:lang w:val="fr-FR"/>
        </w:rPr>
        <w:t xml:space="preserve"> Et dum pervenerint ad locum combustionis, tunc eorum parentes faciunt de cartis bombacinis fieri incidendo ymagines hominum, </w:t>
      </w:r>
      <w:r w:rsidRPr="0043335A">
        <w:rPr>
          <w:rFonts w:ascii="Palatino Linotype" w:hAnsi="Palatino Linotype"/>
          <w:smallCaps/>
          <w:lang w:val="fr-FR"/>
        </w:rPr>
        <w:t>equorum</w:t>
      </w:r>
      <w:r w:rsidRPr="007C6D46">
        <w:rPr>
          <w:rFonts w:ascii="Palatino Linotype" w:hAnsi="Palatino Linotype"/>
          <w:lang w:val="fr-FR"/>
        </w:rPr>
        <w:t xml:space="preserve">, </w:t>
      </w:r>
      <w:r w:rsidRPr="0043335A">
        <w:rPr>
          <w:rFonts w:ascii="Palatino Linotype" w:hAnsi="Palatino Linotype"/>
          <w:smallCaps/>
          <w:lang w:val="fr-FR"/>
        </w:rPr>
        <w:t>arietum</w:t>
      </w:r>
      <w:r w:rsidRPr="007C6D46">
        <w:rPr>
          <w:rFonts w:ascii="Palatino Linotype" w:hAnsi="Palatino Linotype"/>
          <w:lang w:val="fr-FR"/>
        </w:rPr>
        <w:t xml:space="preserve"> et aliorum animalium; et cartas similiter ad modum monete faciunt, et habent ‹eciam› </w:t>
      </w:r>
      <w:r w:rsidRPr="0043335A">
        <w:rPr>
          <w:rFonts w:ascii="Palatino Linotype" w:hAnsi="Palatino Linotype"/>
          <w:smallCaps/>
          <w:lang w:val="fr-FR"/>
        </w:rPr>
        <w:t>çendatum</w:t>
      </w:r>
      <w:r w:rsidRPr="007C6D46">
        <w:rPr>
          <w:rFonts w:ascii="Palatino Linotype" w:hAnsi="Palatino Linotype"/>
          <w:lang w:val="fr-FR"/>
        </w:rPr>
        <w:t xml:space="preserve"> ex diversis coloribus, et de </w:t>
      </w:r>
      <w:r w:rsidRPr="0043335A">
        <w:rPr>
          <w:rFonts w:ascii="Palatino Linotype" w:hAnsi="Palatino Linotype"/>
          <w:smallCaps/>
          <w:lang w:val="fr-FR"/>
        </w:rPr>
        <w:t>pannis</w:t>
      </w:r>
      <w:r w:rsidRPr="007C6D46">
        <w:rPr>
          <w:rFonts w:ascii="Palatino Linotype" w:hAnsi="Palatino Linotype"/>
          <w:lang w:val="fr-FR"/>
        </w:rPr>
        <w:t xml:space="preserve"> diversarum manerierum. </w:t>
      </w:r>
      <w:r w:rsidRPr="007C6D46">
        <w:rPr>
          <w:rFonts w:ascii="Palatino Linotype" w:hAnsi="Palatino Linotype"/>
        </w:rPr>
        <w:t xml:space="preserve">Et hec ‹omnia› una cum corpore mortuo in ignem ponunt, dicentes hunc mortuum in alio mundo habere tanta, scilicet tot servos, tot </w:t>
      </w:r>
      <w:r w:rsidRPr="00811D1A">
        <w:rPr>
          <w:rFonts w:ascii="Palatino Linotype" w:hAnsi="Palatino Linotype"/>
          <w:smallCaps/>
        </w:rPr>
        <w:t>equos</w:t>
      </w:r>
      <w:r w:rsidRPr="007C6D46">
        <w:rPr>
          <w:rFonts w:ascii="Palatino Linotype" w:hAnsi="Palatino Linotype"/>
        </w:rPr>
        <w:t xml:space="preserve"> et similia. </w:t>
      </w:r>
      <w:r w:rsidRPr="007C6D46">
        <w:rPr>
          <w:rFonts w:ascii="Palatino Linotype" w:hAnsi="Palatino Linotype"/>
          <w:b/>
        </w:rPr>
        <w:t>[10]</w:t>
      </w:r>
      <w:r w:rsidRPr="007C6D46">
        <w:rPr>
          <w:rFonts w:ascii="Palatino Linotype" w:hAnsi="Palatino Linotype"/>
        </w:rPr>
        <w:t xml:space="preserve"> Dum eciam corpus ad rogum ferunt, illud antecedunt omnia instrumenta civitatis sonando, quia dicunt ipsum in alio mundo tali honore recipi deberi. </w:t>
      </w:r>
      <w:r w:rsidRPr="007C6D46">
        <w:rPr>
          <w:rFonts w:ascii="Palatino Linotype" w:hAnsi="Palatino Linotype"/>
          <w:b/>
        </w:rPr>
        <w:t>[11]</w:t>
      </w:r>
      <w:r w:rsidRPr="007C6D46">
        <w:rPr>
          <w:rFonts w:ascii="Palatino Linotype" w:hAnsi="Palatino Linotype"/>
        </w:rPr>
        <w:t xml:space="preserve"> Est eciam aliud quod in eorum mortuis observant. Statim enim, mortuo corpore, ad eorum astrologos vadunt ut sibi diem statuat comburendi. Numquam enim eum comburerent nisi die debite ordinata; propter quod, advenit aliquando quod per sepulturam aliquando per mensem, aliquando per .6. menses, corpora in eorum domibus coguntur conservare. Tunc ergo ipsa in grossis capsis ligneis bene concludunt, capsasque depingunt et circumdant </w:t>
      </w:r>
      <w:r w:rsidRPr="0068416A">
        <w:rPr>
          <w:rFonts w:ascii="Palatino Linotype" w:hAnsi="Palatino Linotype"/>
          <w:smallCaps/>
        </w:rPr>
        <w:t>pannis</w:t>
      </w:r>
      <w:r w:rsidRPr="007C6D46">
        <w:rPr>
          <w:rFonts w:ascii="Palatino Linotype" w:hAnsi="Palatino Linotype"/>
        </w:rPr>
        <w:t xml:space="preserve"> cum multis </w:t>
      </w:r>
      <w:r w:rsidRPr="0043335A">
        <w:rPr>
          <w:rFonts w:ascii="Palatino Linotype" w:hAnsi="Palatino Linotype"/>
          <w:smallCaps/>
        </w:rPr>
        <w:t>speciebus</w:t>
      </w:r>
      <w:r w:rsidRPr="007C6D46">
        <w:rPr>
          <w:rFonts w:ascii="Palatino Linotype" w:hAnsi="Palatino Linotype"/>
        </w:rPr>
        <w:t xml:space="preserve"> et </w:t>
      </w:r>
      <w:r w:rsidRPr="0043335A">
        <w:rPr>
          <w:rFonts w:ascii="Palatino Linotype" w:hAnsi="Palatino Linotype"/>
          <w:smallCaps/>
        </w:rPr>
        <w:t>camfora</w:t>
      </w:r>
      <w:r w:rsidRPr="007C6D46">
        <w:rPr>
          <w:rFonts w:ascii="Palatino Linotype" w:hAnsi="Palatino Linotype"/>
        </w:rPr>
        <w:t xml:space="preserve">, taliterque quod eius fetor sentiri non potest, et continue ‹ei› omni die preparant mensam cum cibo et potu ac si viveret; et tam diu ipsam sic relinquunt quousque quis commode commedere potuisset, dicentes animam mortui hiis frui cibariis. </w:t>
      </w:r>
      <w:r w:rsidRPr="007C6D46">
        <w:rPr>
          <w:rFonts w:ascii="Palatino Linotype" w:hAnsi="Palatino Linotype"/>
          <w:b/>
          <w:lang w:val="fr-FR"/>
        </w:rPr>
        <w:t>[12]</w:t>
      </w:r>
      <w:r w:rsidRPr="007C6D46">
        <w:rPr>
          <w:rFonts w:ascii="Palatino Linotype" w:hAnsi="Palatino Linotype"/>
          <w:lang w:val="fr-FR"/>
        </w:rPr>
        <w:t xml:space="preserve"> Et multociens astrologi dicunt non debere trahi corpus per principalem portam domus, sed per aliquam aliam; et multociens faciunt rumpi domus et inde corpus trahere. Causam vero quare eorum astrologi dicunt non debere trahi corpus ex domo quacumque die assignant, quia non deberet, ut dicunt, trahi nisi sub tali planeta sub quo natus fuerit vel, ad minus, in non sibi contrario: quod si aliter fiat, dicunt mortuos multa nocumenta in domo facere; et multociens accidit quod demones aliquos ex familia ledunt vel occidunt, quod hac de causa pervenire fatentur. </w:t>
      </w:r>
      <w:r w:rsidRPr="007C6D46">
        <w:rPr>
          <w:rFonts w:ascii="Palatino Linotype" w:hAnsi="Palatino Linotype"/>
          <w:b/>
          <w:lang w:val="fr-FR"/>
        </w:rPr>
        <w:t>[13]</w:t>
      </w:r>
      <w:r w:rsidRPr="007C6D46">
        <w:rPr>
          <w:rFonts w:ascii="Palatino Linotype" w:hAnsi="Palatino Linotype"/>
          <w:lang w:val="fr-FR"/>
        </w:rPr>
        <w:t xml:space="preserve"> Que autem dicta sunt observant quicumque </w:t>
      </w:r>
      <w:r w:rsidRPr="00723C8A">
        <w:rPr>
          <w:rFonts w:ascii="Palatino Linotype" w:hAnsi="Palatino Linotype"/>
          <w:smallCaps/>
          <w:lang w:val="fr-FR"/>
        </w:rPr>
        <w:t>ydolatre</w:t>
      </w:r>
      <w:r w:rsidRPr="007C6D46">
        <w:rPr>
          <w:rFonts w:ascii="Palatino Linotype" w:hAnsi="Palatino Linotype"/>
          <w:lang w:val="fr-FR"/>
        </w:rPr>
        <w:t xml:space="preserve"> et ubique. </w:t>
      </w:r>
      <w:r w:rsidRPr="007C6D46">
        <w:rPr>
          <w:rFonts w:ascii="Palatino Linotype" w:hAnsi="Palatino Linotype"/>
          <w:b/>
          <w:lang w:val="fr-FR"/>
        </w:rPr>
        <w:t>[14]</w:t>
      </w:r>
      <w:r w:rsidRPr="007C6D46">
        <w:rPr>
          <w:rFonts w:ascii="Palatino Linotype" w:hAnsi="Palatino Linotype"/>
          <w:lang w:val="fr-FR"/>
        </w:rPr>
        <w:t xml:space="preserve"> Dicemus amodo de aliis civitatibus que sunt versus </w:t>
      </w:r>
      <w:r w:rsidRPr="00723C8A">
        <w:rPr>
          <w:rFonts w:ascii="Palatino Linotype" w:hAnsi="Palatino Linotype"/>
          <w:smallCaps/>
          <w:lang w:val="fr-FR"/>
        </w:rPr>
        <w:t>maistrum</w:t>
      </w:r>
      <w:r w:rsidRPr="007C6D46">
        <w:rPr>
          <w:rFonts w:ascii="Palatino Linotype" w:hAnsi="Palatino Linotype"/>
          <w:lang w:val="fr-FR"/>
        </w:rPr>
        <w:t>, prope caput huius deserti.</w:t>
      </w:r>
    </w:p>
    <w:p w:rsidR="00D31AFB" w:rsidRDefault="00D31AFB" w:rsidP="00811D1A">
      <w:pPr>
        <w:spacing w:after="0" w:line="240" w:lineRule="auto"/>
        <w:jc w:val="both"/>
      </w:pPr>
    </w:p>
    <w:sectPr w:rsidR="00D31AFB" w:rsidSect="007C6D4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characterSpacingControl w:val="doNotCompress"/>
  <w:compat>
    <w:useFELayout/>
  </w:compat>
  <w:rsids>
    <w:rsidRoot w:val="007B0C91"/>
    <w:rsid w:val="002630F1"/>
    <w:rsid w:val="0043335A"/>
    <w:rsid w:val="0068416A"/>
    <w:rsid w:val="00723C8A"/>
    <w:rsid w:val="007B0C91"/>
    <w:rsid w:val="00811D1A"/>
    <w:rsid w:val="00A4328F"/>
    <w:rsid w:val="00D31AFB"/>
    <w:rsid w:val="00DB3D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630F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07D36-A1FC-40FC-A7E2-85408AE1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555</Words>
  <Characters>3168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2020-03-28T06:10:00Z</dcterms:created>
  <dcterms:modified xsi:type="dcterms:W3CDTF">2020-03-28T06:10:00Z</dcterms:modified>
</cp:coreProperties>
</file>