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10" w:rsidRPr="00A94797" w:rsidRDefault="003F5110" w:rsidP="008272FB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A94797">
        <w:rPr>
          <w:rFonts w:ascii="Palatino Linotype" w:hAnsi="Palatino Linotype"/>
          <w:b/>
          <w:u w:val="single"/>
          <w:lang w:val="fr-FR"/>
        </w:rPr>
        <w:t>L, 56</w:t>
      </w:r>
    </w:p>
    <w:p w:rsidR="003F5110" w:rsidRPr="003F5110" w:rsidRDefault="003F5110" w:rsidP="008272FB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F5110">
        <w:rPr>
          <w:rFonts w:ascii="Palatino Linotype" w:hAnsi="Palatino Linotype"/>
          <w:lang w:val="fr-FR"/>
        </w:rPr>
        <w:t xml:space="preserve">De civitate </w:t>
      </w:r>
      <w:r w:rsidRPr="003F5110">
        <w:rPr>
          <w:rFonts w:ascii="Palatino Linotype" w:hAnsi="Palatino Linotype"/>
          <w:i/>
          <w:u w:val="single"/>
          <w:lang w:val="fr-FR"/>
        </w:rPr>
        <w:t>Campicion</w:t>
      </w:r>
      <w:r w:rsidRPr="003F5110">
        <w:rPr>
          <w:rFonts w:ascii="Palatino Linotype" w:hAnsi="Palatino Linotype"/>
          <w:lang w:val="fr-FR"/>
        </w:rPr>
        <w:t>.</w:t>
      </w:r>
    </w:p>
    <w:p w:rsidR="003F5110" w:rsidRPr="003F5110" w:rsidRDefault="003F5110" w:rsidP="008272FB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8B6CEE" w:rsidRDefault="003F5110" w:rsidP="008272FB">
      <w:pPr>
        <w:pStyle w:val="Rientrocorpodeltesto"/>
        <w:spacing w:line="240" w:lineRule="auto"/>
        <w:ind w:firstLine="0"/>
      </w:pPr>
      <w:r w:rsidRPr="003F5110">
        <w:rPr>
          <w:rFonts w:ascii="Palatino Linotype" w:hAnsi="Palatino Linotype"/>
          <w:b/>
          <w:sz w:val="22"/>
          <w:szCs w:val="22"/>
          <w:lang w:val="fr-FR"/>
        </w:rPr>
        <w:t>[1]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Campicion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est maxima civitas et nobilis, et est principalior et caput provincie de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Tangut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3F5110">
        <w:rPr>
          <w:rFonts w:ascii="Palatino Linotype" w:hAnsi="Palatino Linotype"/>
          <w:b/>
          <w:sz w:val="22"/>
          <w:szCs w:val="22"/>
          <w:lang w:val="fr-FR"/>
        </w:rPr>
        <w:t>[2]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Hee gentes sunt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ydolatre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, et aliqui adorant </w:t>
      </w:r>
      <w:r w:rsidRPr="00067D8C">
        <w:rPr>
          <w:rFonts w:ascii="Palatino Linotype" w:hAnsi="Palatino Linotype"/>
          <w:i/>
          <w:sz w:val="22"/>
          <w:szCs w:val="22"/>
          <w:lang w:val="fr-FR"/>
        </w:rPr>
        <w:t>Machoment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; sunt eciam aliqui </w:t>
      </w:r>
      <w:r w:rsidRPr="00067D8C">
        <w:rPr>
          <w:rFonts w:ascii="Palatino Linotype" w:hAnsi="Palatino Linotype"/>
          <w:i/>
          <w:sz w:val="22"/>
          <w:szCs w:val="22"/>
          <w:lang w:val="fr-FR"/>
        </w:rPr>
        <w:t>christiani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067D8C">
        <w:rPr>
          <w:rFonts w:ascii="Palatino Linotype" w:hAnsi="Palatino Linotype"/>
          <w:b/>
          <w:sz w:val="22"/>
          <w:szCs w:val="22"/>
          <w:lang w:val="fr-FR"/>
        </w:rPr>
        <w:t>[3]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Sed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ydolatre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habent maximam quantitatem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ydolorum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, ex quibus aliqua sunt longa .X. </w:t>
      </w:r>
      <w:r w:rsidRPr="00A94797">
        <w:rPr>
          <w:rFonts w:ascii="Palatino Linotype" w:hAnsi="Palatino Linotype"/>
          <w:smallCaps/>
          <w:sz w:val="22"/>
          <w:szCs w:val="22"/>
          <w:lang w:val="fr-FR"/>
        </w:rPr>
        <w:t>passibus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, et aliqua sunt ex ligno, aliqua ex terra, aliqua sunt ex lapide; et sunt totaliter </w:t>
      </w:r>
      <w:r w:rsidRPr="00A94797">
        <w:rPr>
          <w:rFonts w:ascii="Palatino Linotype" w:hAnsi="Palatino Linotype"/>
          <w:smallCaps/>
          <w:sz w:val="22"/>
          <w:szCs w:val="22"/>
          <w:lang w:val="fr-FR"/>
        </w:rPr>
        <w:t>auro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cohoperta et subtiliter laborata. Et circa hec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ydola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magna sunt quam plura parva que videntur ‹multum› hiis magnis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ydolis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obedire. </w:t>
      </w:r>
      <w:r w:rsidRPr="00067D8C">
        <w:rPr>
          <w:rFonts w:ascii="Palatino Linotype" w:hAnsi="Palatino Linotype"/>
          <w:b/>
          <w:sz w:val="22"/>
          <w:szCs w:val="22"/>
          <w:lang w:val="fr-FR"/>
        </w:rPr>
        <w:t>[4]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Et faciunt festivitates de eorum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ydolis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diversis temporibus, quemadmodum nos de nostris sanctis; habent eciam in modum </w:t>
      </w:r>
      <w:r w:rsidRPr="005B1010">
        <w:rPr>
          <w:rFonts w:ascii="Palatino Linotype" w:hAnsi="Palatino Linotype"/>
          <w:smallCaps/>
          <w:sz w:val="22"/>
          <w:szCs w:val="22"/>
          <w:lang w:val="fr-FR"/>
        </w:rPr>
        <w:t>kalendarii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, ubi </w:t>
      </w:r>
      <w:r w:rsidRPr="00067D8C">
        <w:rPr>
          <w:rFonts w:ascii="Palatino Linotype" w:hAnsi="Palatino Linotype"/>
          <w:smallCaps/>
          <w:sz w:val="22"/>
          <w:szCs w:val="22"/>
          <w:lang w:val="fr-FR"/>
        </w:rPr>
        <w:t>ydolorum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suorum festa certis ordinantur diebus. </w:t>
      </w:r>
      <w:r w:rsidRPr="00067D8C">
        <w:rPr>
          <w:rFonts w:ascii="Palatino Linotype" w:hAnsi="Palatino Linotype"/>
          <w:b/>
          <w:sz w:val="22"/>
          <w:szCs w:val="22"/>
          <w:lang w:val="fr-FR"/>
        </w:rPr>
        <w:t>[5]</w:t>
      </w:r>
      <w:r w:rsidRPr="00067D8C">
        <w:rPr>
          <w:rFonts w:ascii="Palatino Linotype" w:hAnsi="Palatino Linotype"/>
          <w:sz w:val="22"/>
          <w:szCs w:val="22"/>
          <w:lang w:val="fr-FR"/>
        </w:rPr>
        <w:t xml:space="preserve"> Et hee gentes accipiunt usque ad .30. uxores, et plures et pauciores secundum eorum possibilitatem, ‹donantque homines mulieribus pro doctibus bestias, servos et monetas secundum eorum posse›; verumtamen primam uxorem semper pro maiori et nobiliori retinent: quod si aliqua de hiis uxoribus causa aliqua displiceat potest eam licite a matrimonio separare. Consanguineas eciam et uxores patris licite in uxores accipiunt. Et multa alia faciunt que nobis valde vetita sunt:</w:t>
      </w:r>
      <w:r w:rsidR="008272FB">
        <w:rPr>
          <w:rFonts w:ascii="Palatino Linotype" w:hAnsi="Palatino Linotype"/>
          <w:sz w:val="22"/>
          <w:szCs w:val="22"/>
          <w:lang w:val="fr-FR"/>
        </w:rPr>
        <w:t xml:space="preserve"> ‹vivunt enim bestiarum more›.</w:t>
      </w:r>
    </w:p>
    <w:sectPr w:rsidR="008B6CEE" w:rsidSect="003F511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F5110"/>
    <w:rsid w:val="00067D8C"/>
    <w:rsid w:val="003F5110"/>
    <w:rsid w:val="005B1010"/>
    <w:rsid w:val="008272FB"/>
    <w:rsid w:val="008B6CEE"/>
    <w:rsid w:val="00A0583D"/>
    <w:rsid w:val="00A91944"/>
    <w:rsid w:val="00A94797"/>
    <w:rsid w:val="00CB6455"/>
    <w:rsid w:val="00F51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64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3F5110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3F5110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8F12-CC52-4466-B726-309F5607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2020-03-28T09:06:00Z</dcterms:created>
  <dcterms:modified xsi:type="dcterms:W3CDTF">2020-03-28T09:06:00Z</dcterms:modified>
</cp:coreProperties>
</file>