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9D" w:rsidRPr="0075740E" w:rsidRDefault="0059109D" w:rsidP="00147FE2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75740E">
        <w:rPr>
          <w:rFonts w:ascii="Palatino Linotype" w:hAnsi="Palatino Linotype"/>
          <w:b/>
          <w:sz w:val="22"/>
          <w:szCs w:val="22"/>
          <w:u w:val="single"/>
          <w:lang w:val="fr-FR"/>
        </w:rPr>
        <w:t>L, 58</w:t>
      </w:r>
    </w:p>
    <w:p w:rsidR="0059109D" w:rsidRPr="00A262DB" w:rsidRDefault="0059109D" w:rsidP="00147FE2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A262DB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A262DB">
        <w:rPr>
          <w:rFonts w:ascii="Palatino Linotype" w:hAnsi="Palatino Linotype"/>
          <w:i/>
          <w:sz w:val="22"/>
          <w:szCs w:val="22"/>
          <w:u w:val="single"/>
          <w:lang w:val="fr-FR"/>
        </w:rPr>
        <w:t>Caracoron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, et de origine 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A262DB">
        <w:rPr>
          <w:rFonts w:ascii="Palatino Linotype" w:hAnsi="Palatino Linotype"/>
          <w:sz w:val="22"/>
          <w:szCs w:val="22"/>
          <w:lang w:val="fr-FR"/>
        </w:rPr>
        <w:t>. Rubrica.</w:t>
      </w:r>
    </w:p>
    <w:p w:rsidR="0059109D" w:rsidRPr="00A262DB" w:rsidRDefault="0059109D" w:rsidP="00147FE2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147FE2" w:rsidRPr="00A262DB" w:rsidRDefault="0059109D" w:rsidP="00147FE2">
      <w:pPr>
        <w:pStyle w:val="Rientrocorpodeltesto"/>
        <w:spacing w:line="240" w:lineRule="auto"/>
        <w:ind w:firstLine="0"/>
      </w:pPr>
      <w:r w:rsidRPr="00A262DB">
        <w:rPr>
          <w:rFonts w:ascii="Palatino Linotype" w:hAnsi="Palatino Linotype"/>
          <w:b/>
          <w:sz w:val="22"/>
          <w:szCs w:val="22"/>
          <w:lang w:val="fr-FR"/>
        </w:rPr>
        <w:t>[1]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</w:t>
      </w:r>
      <w:r w:rsidRPr="00A262DB">
        <w:rPr>
          <w:rFonts w:ascii="Palatino Linotype" w:hAnsi="Palatino Linotype"/>
          <w:i/>
          <w:sz w:val="22"/>
          <w:szCs w:val="22"/>
          <w:u w:val="single"/>
          <w:lang w:val="fr-FR"/>
        </w:rPr>
        <w:t>Caracoron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est civitas que circuit </w:t>
      </w:r>
      <w:r w:rsidRPr="00A262DB">
        <w:rPr>
          <w:rFonts w:ascii="Palatino Linotype" w:hAnsi="Palatino Linotype"/>
          <w:smallCaps/>
          <w:sz w:val="22"/>
          <w:szCs w:val="22"/>
          <w:lang w:val="fr-FR"/>
        </w:rPr>
        <w:t>miliaria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tria, que est tota de lignamine et terra; et ex hac fuit primus dominus quem 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Tartari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habuerunt, cum de suis partibus recesserunt. </w:t>
      </w:r>
      <w:r w:rsidRPr="00A262DB">
        <w:rPr>
          <w:rFonts w:ascii="Palatino Linotype" w:hAnsi="Palatino Linotype"/>
          <w:b/>
          <w:sz w:val="22"/>
          <w:szCs w:val="22"/>
          <w:lang w:val="fr-FR"/>
        </w:rPr>
        <w:t>[2]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Modus autem huius dominii talis fuit. </w:t>
      </w:r>
      <w:r w:rsidRPr="00A262DB">
        <w:rPr>
          <w:rFonts w:ascii="Palatino Linotype" w:hAnsi="Palatino Linotype"/>
          <w:b/>
          <w:sz w:val="22"/>
          <w:szCs w:val="22"/>
          <w:lang w:val="fr-FR"/>
        </w:rPr>
        <w:t>[3]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Olim</w:t>
      </w:r>
      <w:r w:rsidRPr="00A262DB">
        <w:rPr>
          <w:rFonts w:ascii="Palatino Linotype" w:hAnsi="Palatino Linotype"/>
          <w:b/>
          <w:sz w:val="22"/>
          <w:szCs w:val="22"/>
          <w:lang w:val="fr-FR"/>
        </w:rPr>
        <w:t xml:space="preserve"> 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Tartari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manebant in partibus </w:t>
      </w:r>
      <w:r w:rsidRPr="00A262DB">
        <w:rPr>
          <w:rFonts w:ascii="Palatino Linotype" w:hAnsi="Palatino Linotype"/>
          <w:smallCaps/>
          <w:sz w:val="22"/>
          <w:szCs w:val="22"/>
          <w:lang w:val="fr-FR"/>
        </w:rPr>
        <w:t>septemtrionis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in loco dicto </w:t>
      </w:r>
      <w:r w:rsidRPr="00A262DB">
        <w:rPr>
          <w:rFonts w:ascii="Palatino Linotype" w:hAnsi="Palatino Linotype"/>
          <w:i/>
          <w:sz w:val="22"/>
          <w:szCs w:val="22"/>
          <w:u w:val="single"/>
          <w:lang w:val="fr-FR"/>
        </w:rPr>
        <w:t>Trociorcia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– ubi est planicies valde magna, et civitates et castra nulla (verumtamen sunt pascua valde bona et flumina et aque multe) –, et erant absque domino; ‹verumtamen reddebant tributum uni maximo domino› quem in lingua sua appellabant ‘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Hunc Kan</w:t>
      </w:r>
      <w:r w:rsidRPr="00A262DB">
        <w:rPr>
          <w:rFonts w:ascii="Palatino Linotype" w:hAnsi="Palatino Linotype"/>
          <w:sz w:val="22"/>
          <w:szCs w:val="22"/>
          <w:lang w:val="fr-FR"/>
        </w:rPr>
        <w:t>’ – quod sonat in latino ‘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Presbiter Iohannis’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, cuius magnitudinem totus mundus intonuit –, et huic reddebant decimam bestiarum. </w:t>
      </w:r>
      <w:r w:rsidRPr="00A262DB">
        <w:rPr>
          <w:rFonts w:ascii="Palatino Linotype" w:hAnsi="Palatino Linotype"/>
          <w:b/>
          <w:sz w:val="22"/>
          <w:szCs w:val="22"/>
          <w:lang w:val="fr-FR"/>
        </w:rPr>
        <w:t>[4]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Hii vero in tanta multitudine excreverunt, quod dubitans 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Unckan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in plures partes dividere ordinavit. Quod audientes 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Tartari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dolentesque, omnes insimul recesserunt euntes per deserta versus </w:t>
      </w:r>
      <w:r w:rsidRPr="00A262DB">
        <w:rPr>
          <w:rFonts w:ascii="Palatino Linotype" w:hAnsi="Palatino Linotype"/>
          <w:smallCaps/>
          <w:sz w:val="22"/>
          <w:szCs w:val="22"/>
          <w:lang w:val="fr-FR"/>
        </w:rPr>
        <w:t>septemtrionem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, in tantum quod </w:t>
      </w:r>
      <w:r w:rsidRPr="00A262DB">
        <w:rPr>
          <w:rFonts w:ascii="Palatino Linotype" w:hAnsi="Palatino Linotype"/>
          <w:i/>
          <w:sz w:val="22"/>
          <w:szCs w:val="22"/>
          <w:lang w:val="fr-FR"/>
        </w:rPr>
        <w:t>Unckan</w:t>
      </w:r>
      <w:r w:rsidRPr="00A262DB">
        <w:rPr>
          <w:rFonts w:ascii="Palatino Linotype" w:hAnsi="Palatino Linotype"/>
          <w:sz w:val="22"/>
          <w:szCs w:val="22"/>
          <w:lang w:val="fr-FR"/>
        </w:rPr>
        <w:t xml:space="preserve"> eis nocere non posset (erantque rebelles), ubi aliquo permanserunt tempore.</w:t>
      </w:r>
    </w:p>
    <w:sectPr w:rsidR="00147FE2" w:rsidRPr="00A262DB" w:rsidSect="005910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109D"/>
    <w:rsid w:val="000305F4"/>
    <w:rsid w:val="00147FE2"/>
    <w:rsid w:val="00440F0F"/>
    <w:rsid w:val="0059109D"/>
    <w:rsid w:val="0075740E"/>
    <w:rsid w:val="00944485"/>
    <w:rsid w:val="00A04470"/>
    <w:rsid w:val="00A262DB"/>
    <w:rsid w:val="00CC7585"/>
    <w:rsid w:val="00F6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44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59109D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59109D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3172B-7AC5-45DE-A19F-5351EBE6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2020-03-28T10:09:00Z</dcterms:created>
  <dcterms:modified xsi:type="dcterms:W3CDTF">2020-03-28T10:09:00Z</dcterms:modified>
</cp:coreProperties>
</file>