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79" w:rsidRPr="002F4A79" w:rsidRDefault="002F4A79" w:rsidP="002F4A7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2F4A79">
        <w:rPr>
          <w:rFonts w:ascii="Palatino Linotype" w:hAnsi="Palatino Linotype"/>
          <w:b/>
          <w:u w:val="single"/>
          <w:lang w:val="fr-FR"/>
        </w:rPr>
        <w:t>P</w:t>
      </w:r>
      <w:r w:rsidR="00185EB7">
        <w:rPr>
          <w:rFonts w:ascii="Palatino Linotype" w:hAnsi="Palatino Linotype"/>
          <w:b/>
          <w:u w:val="single"/>
          <w:lang w:val="fr-FR"/>
        </w:rPr>
        <w:t>, I</w:t>
      </w:r>
      <w:r w:rsidRPr="002F4A79">
        <w:rPr>
          <w:rFonts w:ascii="Palatino Linotype" w:hAnsi="Palatino Linotype"/>
          <w:b/>
          <w:u w:val="single"/>
          <w:lang w:val="fr-FR"/>
        </w:rPr>
        <w:t xml:space="preserve"> 54</w:t>
      </w:r>
    </w:p>
    <w:p w:rsidR="002F4A79" w:rsidRPr="00680713" w:rsidRDefault="002F4A79" w:rsidP="002F4A7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Cathalogus regum </w:t>
      </w:r>
      <w:r w:rsidRPr="002F4A79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 et qualiter regum illorum corpora sepeliuntur in monte </w:t>
      </w:r>
      <w:r w:rsidRPr="002F4A79">
        <w:rPr>
          <w:rFonts w:ascii="Palatino Linotype" w:hAnsi="Palatino Linotype"/>
          <w:i/>
          <w:u w:val="single"/>
          <w:lang w:val="fr-FR"/>
        </w:rPr>
        <w:t>Alchay</w:t>
      </w:r>
      <w:r w:rsidRPr="00680713">
        <w:rPr>
          <w:rFonts w:ascii="Palatino Linotype" w:hAnsi="Palatino Linotype"/>
          <w:lang w:val="fr-FR"/>
        </w:rPr>
        <w:t>. Capitulum 54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2F4A79" w:rsidRPr="00680713" w:rsidRDefault="002F4A79" w:rsidP="002F4A7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2F4A79" w:rsidRPr="00680713" w:rsidRDefault="002F4A79" w:rsidP="002F4A7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F4A79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Primus igitur rex </w:t>
      </w:r>
      <w:r w:rsidRPr="002F4A79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 fuit </w:t>
      </w:r>
      <w:r w:rsidRPr="002F4A79">
        <w:rPr>
          <w:rFonts w:ascii="Palatino Linotype" w:hAnsi="Palatino Linotype"/>
          <w:i/>
          <w:lang w:val="fr-FR"/>
        </w:rPr>
        <w:t>Chinchis</w:t>
      </w:r>
      <w:r w:rsidRPr="00680713">
        <w:rPr>
          <w:rFonts w:ascii="Palatino Linotype" w:hAnsi="Palatino Linotype"/>
          <w:lang w:val="fr-FR"/>
        </w:rPr>
        <w:t xml:space="preserve">, secundus </w:t>
      </w:r>
      <w:r w:rsidRPr="002F4A79">
        <w:rPr>
          <w:rFonts w:ascii="Palatino Linotype" w:hAnsi="Palatino Linotype"/>
          <w:i/>
          <w:lang w:val="fr-FR"/>
        </w:rPr>
        <w:t>Cui</w:t>
      </w:r>
      <w:r w:rsidRPr="00680713">
        <w:rPr>
          <w:rFonts w:ascii="Palatino Linotype" w:hAnsi="Palatino Linotype"/>
          <w:lang w:val="fr-FR"/>
        </w:rPr>
        <w:t xml:space="preserve">, tercius </w:t>
      </w:r>
      <w:r w:rsidRPr="002F4A79">
        <w:rPr>
          <w:rFonts w:ascii="Palatino Linotype" w:hAnsi="Palatino Linotype"/>
          <w:i/>
          <w:lang w:val="fr-FR"/>
        </w:rPr>
        <w:t>Bacui</w:t>
      </w:r>
      <w:r w:rsidRPr="00680713">
        <w:rPr>
          <w:rFonts w:ascii="Palatino Linotype" w:hAnsi="Palatino Linotype"/>
          <w:lang w:val="fr-FR"/>
        </w:rPr>
        <w:t xml:space="preserve">, quartus </w:t>
      </w:r>
      <w:r w:rsidRPr="002F4A79">
        <w:rPr>
          <w:rFonts w:ascii="Palatino Linotype" w:hAnsi="Palatino Linotype"/>
          <w:i/>
          <w:lang w:val="fr-FR"/>
        </w:rPr>
        <w:t>Alau</w:t>
      </w:r>
      <w:r w:rsidRPr="00680713">
        <w:rPr>
          <w:rFonts w:ascii="Palatino Linotype" w:hAnsi="Palatino Linotype"/>
          <w:lang w:val="fr-FR"/>
        </w:rPr>
        <w:t xml:space="preserve">, quintus </w:t>
      </w:r>
      <w:r w:rsidRPr="002F4A79">
        <w:rPr>
          <w:rFonts w:ascii="Palatino Linotype" w:hAnsi="Palatino Linotype"/>
          <w:i/>
          <w:lang w:val="fr-FR"/>
        </w:rPr>
        <w:t>Manguth</w:t>
      </w:r>
      <w:r w:rsidRPr="00680713">
        <w:rPr>
          <w:rFonts w:ascii="Palatino Linotype" w:hAnsi="Palatino Linotype"/>
          <w:lang w:val="fr-FR"/>
        </w:rPr>
        <w:t xml:space="preserve">, sextus </w:t>
      </w:r>
      <w:r w:rsidRPr="002F4A79">
        <w:rPr>
          <w:rFonts w:ascii="Palatino Linotype" w:hAnsi="Palatino Linotype"/>
          <w:i/>
          <w:lang w:val="fr-FR"/>
        </w:rPr>
        <w:t>Cublay</w:t>
      </w:r>
      <w:r w:rsidRPr="00680713">
        <w:rPr>
          <w:rFonts w:ascii="Palatino Linotype" w:hAnsi="Palatino Linotype"/>
          <w:lang w:val="fr-FR"/>
        </w:rPr>
        <w:t xml:space="preserve"> qui modo regnat, cuius potencia maior est quam fuerit omnium prenominatorum .V. predecessorum eius: maius est etiam solius ipsius dominium quam sint simul in unum cuncta regna et dominia </w:t>
      </w:r>
      <w:r w:rsidRPr="002F4A79">
        <w:rPr>
          <w:rFonts w:ascii="Palatino Linotype" w:hAnsi="Palatino Linotype"/>
          <w:i/>
          <w:lang w:val="fr-FR"/>
        </w:rPr>
        <w:t>christianorum</w:t>
      </w:r>
      <w:r w:rsidRPr="00680713">
        <w:rPr>
          <w:rFonts w:ascii="Palatino Linotype" w:hAnsi="Palatino Linotype"/>
          <w:lang w:val="fr-FR"/>
        </w:rPr>
        <w:t xml:space="preserve"> regum et omnium </w:t>
      </w:r>
      <w:r w:rsidRPr="002F4A79">
        <w:rPr>
          <w:rFonts w:ascii="Palatino Linotype" w:hAnsi="Palatino Linotype"/>
          <w:i/>
          <w:lang w:val="fr-FR"/>
        </w:rPr>
        <w:t>saracenorum</w:t>
      </w:r>
      <w:r w:rsidRPr="00680713">
        <w:rPr>
          <w:rFonts w:ascii="Palatino Linotype" w:hAnsi="Palatino Linotype"/>
          <w:lang w:val="fr-FR"/>
        </w:rPr>
        <w:t xml:space="preserve">, sicut in libro hoc suo loco |25c| patebit manifeste. </w:t>
      </w:r>
      <w:r w:rsidRPr="002F4A79">
        <w:rPr>
          <w:rFonts w:ascii="Palatino Linotype" w:hAnsi="Palatino Linotype"/>
          <w:b/>
          <w:lang w:val="fr-FR"/>
        </w:rPr>
        <w:t>[2]</w:t>
      </w:r>
      <w:r w:rsidRPr="00680713">
        <w:rPr>
          <w:rFonts w:ascii="Palatino Linotype" w:hAnsi="Palatino Linotype"/>
          <w:lang w:val="fr-FR"/>
        </w:rPr>
        <w:t xml:space="preserve"> Quando vero corpus </w:t>
      </w:r>
      <w:r w:rsidRPr="002F4A79">
        <w:rPr>
          <w:rFonts w:ascii="Palatino Linotype" w:hAnsi="Palatino Linotype"/>
          <w:i/>
          <w:lang w:val="fr-FR"/>
        </w:rPr>
        <w:t>Magni Kaam</w:t>
      </w:r>
      <w:r w:rsidRPr="00680713">
        <w:rPr>
          <w:rFonts w:ascii="Palatino Linotype" w:hAnsi="Palatino Linotype"/>
          <w:lang w:val="fr-FR"/>
        </w:rPr>
        <w:t xml:space="preserve"> tumulandum defertur ad montem </w:t>
      </w:r>
      <w:r w:rsidRPr="002F4A79">
        <w:rPr>
          <w:rFonts w:ascii="Palatino Linotype" w:hAnsi="Palatino Linotype"/>
          <w:i/>
          <w:u w:val="single"/>
          <w:lang w:val="fr-FR"/>
        </w:rPr>
        <w:t>Alchay</w:t>
      </w:r>
      <w:r w:rsidRPr="00680713">
        <w:rPr>
          <w:rFonts w:ascii="Palatino Linotype" w:hAnsi="Palatino Linotype"/>
          <w:lang w:val="fr-FR"/>
        </w:rPr>
        <w:t xml:space="preserve">, hii qui eum ad sepulturam concomitantur homines cunctos quos in via habent obvios gladio perhimunt, dicentes: «Ite, et domino nostro regi in alia vita servite»; tanta enim insania a Sathana circumventi sunt, ut credant occisos tunc occasione predicta in vita alia eius fore obsequio mancipandos; similiter etiam </w:t>
      </w:r>
      <w:r w:rsidRPr="00185EB7">
        <w:rPr>
          <w:rFonts w:ascii="Palatino Linotype" w:hAnsi="Palatino Linotype"/>
          <w:smallCaps/>
          <w:lang w:val="fr-FR"/>
        </w:rPr>
        <w:t>equos</w:t>
      </w:r>
      <w:r w:rsidRPr="00680713">
        <w:rPr>
          <w:rFonts w:ascii="Palatino Linotype" w:hAnsi="Palatino Linotype"/>
          <w:lang w:val="fr-FR"/>
        </w:rPr>
        <w:t xml:space="preserve"> omnes obvios, nec non et defuncti regis </w:t>
      </w:r>
      <w:r w:rsidRPr="002F4A79">
        <w:rPr>
          <w:rFonts w:ascii="Palatino Linotype" w:hAnsi="Palatino Linotype"/>
          <w:smallCaps/>
          <w:lang w:val="fr-FR"/>
        </w:rPr>
        <w:t>equos</w:t>
      </w:r>
      <w:r w:rsidRPr="00680713">
        <w:rPr>
          <w:rFonts w:ascii="Palatino Linotype" w:hAnsi="Palatino Linotype"/>
          <w:lang w:val="fr-FR"/>
        </w:rPr>
        <w:t xml:space="preserve"> electos occidunt ut ipsos in vita alia vivos recipiat. Quando autem corpus </w:t>
      </w:r>
      <w:r w:rsidRPr="002F4A79">
        <w:rPr>
          <w:rFonts w:ascii="Palatino Linotype" w:hAnsi="Palatino Linotype"/>
          <w:i/>
          <w:lang w:val="fr-FR"/>
        </w:rPr>
        <w:t>Manguth Kaam</w:t>
      </w:r>
      <w:r w:rsidRPr="00680713">
        <w:rPr>
          <w:rFonts w:ascii="Palatino Linotype" w:hAnsi="Palatino Linotype"/>
          <w:lang w:val="fr-FR"/>
        </w:rPr>
        <w:t xml:space="preserve"> delatum fuit ad montem, milites qui ducebant corpus ultra .XX.</w:t>
      </w:r>
      <w:r w:rsidRPr="00680713">
        <w:rPr>
          <w:rFonts w:ascii="Palatino Linotype" w:hAnsi="Palatino Linotype"/>
          <w:smallCaps/>
          <w:lang w:val="fr-FR"/>
        </w:rPr>
        <w:t xml:space="preserve"> </w:t>
      </w:r>
      <w:r w:rsidRPr="00680713">
        <w:rPr>
          <w:rFonts w:ascii="Palatino Linotype" w:hAnsi="Palatino Linotype"/>
          <w:lang w:val="fr-FR"/>
        </w:rPr>
        <w:t>milia hominum occasione{m} predicta{m} occiderunt.</w:t>
      </w:r>
    </w:p>
    <w:p w:rsidR="002F4A79" w:rsidRPr="00680713" w:rsidRDefault="002F4A79" w:rsidP="002F4A7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BD5928" w:rsidRDefault="00BD5928"/>
    <w:sectPr w:rsidR="00BD5928" w:rsidSect="002F4A7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F4A79"/>
    <w:rsid w:val="00185EB7"/>
    <w:rsid w:val="002F4A79"/>
    <w:rsid w:val="00491AA3"/>
    <w:rsid w:val="00BD5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1AA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2020-03-28T14:11:00Z</dcterms:created>
  <dcterms:modified xsi:type="dcterms:W3CDTF">2020-03-28T14:11:00Z</dcterms:modified>
</cp:coreProperties>
</file>