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78" w:rsidRPr="00C55578" w:rsidRDefault="00C55578" w:rsidP="008E0349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C55578">
        <w:rPr>
          <w:rFonts w:ascii="Palatino Linotype" w:hAnsi="Palatino Linotype"/>
          <w:b/>
          <w:color w:val="000000"/>
          <w:u w:val="single"/>
        </w:rPr>
        <w:t>TA, 69</w:t>
      </w:r>
    </w:p>
    <w:p w:rsidR="00C55578" w:rsidRPr="009506A4" w:rsidRDefault="00C55578" w:rsidP="008E0349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Del dio de’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C55578" w:rsidRPr="009506A4" w:rsidRDefault="00C55578" w:rsidP="008E0349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8E0349" w:rsidRDefault="00C55578" w:rsidP="008E0349">
      <w:pPr>
        <w:pStyle w:val="NormaleWeb"/>
        <w:spacing w:before="0" w:beforeAutospacing="0" w:after="0" w:afterAutospacing="0"/>
        <w:jc w:val="both"/>
      </w:pPr>
      <w:r w:rsidRPr="00C55578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Sappiate che loro legge è cotale, ch’egli ànno un loro idio ch’à nome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Natigai</w:t>
      </w:r>
      <w:r w:rsidRPr="009506A4">
        <w:rPr>
          <w:rFonts w:ascii="Palatino Linotype" w:hAnsi="Palatino Linotype"/>
          <w:color w:val="000000"/>
          <w:sz w:val="22"/>
          <w:szCs w:val="22"/>
        </w:rPr>
        <w:t>, e dicono che quello è dio terreno, che guarda loro figliuoli e loro bestiame e loro biade</w:t>
      </w:r>
      <w:r w:rsidRPr="00C55578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fannogli grande onore e grande riv‹er›enza, ché ciascheuno lo tiene in sua casa.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fannogli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feltro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panno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tengono i·loro casa; e ancora fanno la moglie di questo loro idio, e fannogli figliuoli ancora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panno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moglie pongono da·lato manco e li figliuoli dinanzi: molto gli fanno onore.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vegnono a mangiare, egli tolgono de la carne grassa e ungogli la bocca a quello dio e sua moglie e a quegli figliuoli.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Poscia pigliano del brodo e gittanne giù da l’usciuolo ove stae quello idio.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Quando ànno fatto così, dicono che·lor dio e sua famiglia àe la sua parte.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Apresso questo mangiano e beono; e sappi‹a›te ch’egli beono latte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giumente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cónciallo in tal modo che pare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bianco: è buono a bere, e chiàmallo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chemmisi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Loro vestimenta sono cotali: gli ricchi uomini vestono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ricche pelli cebeline e ermine e de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vai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de volpi molto riccamente; e li loro arnesi sono molto di grande valuta.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 xml:space="preserve">[10]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Loro arme sono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archi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spade e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mazze</w:t>
      </w:r>
      <w:r w:rsidRPr="009506A4">
        <w:rPr>
          <w:rFonts w:ascii="Palatino Linotype" w:hAnsi="Palatino Linotype"/>
          <w:color w:val="000000"/>
          <w:sz w:val="22"/>
          <w:szCs w:val="22"/>
        </w:rPr>
        <w:t>, ma d’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archi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s’aiutano più che d’altro, ché egli sono troppi buoni archieri; i·loro dosso portano armadura di </w:t>
      </w:r>
      <w:r w:rsidRPr="008E0349">
        <w:rPr>
          <w:rFonts w:ascii="Palatino Linotype" w:hAnsi="Palatino Linotype"/>
          <w:smallCaps/>
          <w:color w:val="000000"/>
          <w:sz w:val="22"/>
          <w:szCs w:val="22"/>
        </w:rPr>
        <w:t>cuio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bufalo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d’altre </w:t>
      </w:r>
      <w:r w:rsidRPr="008E0349">
        <w:rPr>
          <w:rFonts w:ascii="Palatino Linotype" w:hAnsi="Palatino Linotype"/>
          <w:smallCaps/>
          <w:color w:val="000000"/>
          <w:sz w:val="22"/>
          <w:szCs w:val="22"/>
        </w:rPr>
        <w:t>cuoia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forti.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sono uomini in battaglie vale‹n›tri duramente.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dirovi come eglino si possono travagliare più che l’altri uomini, ché, quando bisognerà, egli andrà e starà u·mese senza niuna vivanda, salvo che viverà di latte di </w:t>
      </w:r>
      <w:r w:rsidRPr="008E0349">
        <w:rPr>
          <w:rFonts w:ascii="Palatino Linotype" w:hAnsi="Palatino Linotype"/>
          <w:smallCaps/>
          <w:color w:val="000000"/>
          <w:sz w:val="22"/>
          <w:szCs w:val="22"/>
        </w:rPr>
        <w:t>giumente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carne di loro cacciagioni che prendono.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Il suo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viverà d’erba ch’andrà pascendo, che no gli bisogna portare né </w:t>
      </w:r>
      <w:r w:rsidRPr="008E0349">
        <w:rPr>
          <w:rFonts w:ascii="Palatino Linotype" w:hAnsi="Palatino Linotype"/>
          <w:smallCaps/>
          <w:color w:val="000000"/>
          <w:sz w:val="22"/>
          <w:szCs w:val="22"/>
        </w:rPr>
        <w:t>orzo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né paglia.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sono molto ubidienti a loro signore; e sappiate che, quando bisogna, egli andrà e starà tutta notte a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sempre andarà pascendo.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 xml:space="preserve">[15]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sono quella gente che più sostengono travaglio e [male], e meno vogliono di spesa, e che più vivono, e sono per conquistare terre e regnami.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[16]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sono così ordinati che, quando uno signore mena in oste Cm cavalieri, a ogne mille fa uno capo, e a ‹o›gne Xm, sicché non àe a parlare se non con X uomini lo signore de li Xm, e quello de’ Cm non à a pa‹r›lare se no co X; e così ogni uomo risponde al suo capo.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l’oste vae per monti e per valle, sempre vae inanzi CC uomini per sguardare, e altretanti dirietro e da·lato, perché l’oste non possa essere asalito che nol sentissoro.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egli vanno in oste da la lunga, egli portano bottacci di </w:t>
      </w:r>
      <w:r w:rsidRPr="008E0349">
        <w:rPr>
          <w:rFonts w:ascii="Palatino Linotype" w:hAnsi="Palatino Linotype"/>
          <w:smallCaps/>
          <w:color w:val="000000"/>
          <w:sz w:val="22"/>
          <w:szCs w:val="22"/>
        </w:rPr>
        <w:t>cuoio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ov’egli portano loro latte, e una pentolella u’ egli cuocono loro carne.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[19]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portano una picciola tenda ov’egli fuggono da l’acqua.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sì vi dico che quando egli è bisogno, eglino cavalcano bene X giornate senza vivanda di fuoco, ma vivono del sangue delli loro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ché ciascheuno pone la bocca a la vena del suo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bee.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ànno ancora loro latte secco come pasta, e mettono di quello latte nell’acqua e disfannolovi entro e poscia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beono.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[22]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vincono le battaglie altresì fuggendo come cacciando, ché fuggendo saettano tuttavia, e gli loro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volgoro come fossero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quando gli loro nemici gli credono avere isconfitti cacciandogli, e e’ sono sconfitti eglino, perciò che tutti li loro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sono morti per le loro saette.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li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veggono gli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quegli che gli cacciano morti, egli si rivolgono a loro e sconfiggoli per la loro prodezza; e in questo modo ànno già vinte molte battaglie.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Tutto questo ch’io v’ò contato e li costumi, è vero de li diritti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or vi dico che sono molto i bastardi, ché quegli che usano au </w:t>
      </w:r>
      <w:r w:rsidRPr="00C55578">
        <w:rPr>
          <w:rFonts w:ascii="Palatino Linotype" w:hAnsi="Palatino Linotype"/>
          <w:i/>
          <w:color w:val="000000"/>
          <w:sz w:val="22"/>
          <w:szCs w:val="22"/>
          <w:u w:val="single"/>
        </w:rPr>
        <w:t>Ca[t]a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se mantengono li costumi degl’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>, e ànno lasciata loro legge; e quegli che usano i·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llevante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tegnono la maniera degli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[25]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La giustizia vi si fa com’io v‹i› diròe.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 xml:space="preserve">[26]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è vero, se alcuno àe imbolato una picciola cosa, ch’egli ‹non› ne debbia </w:t>
      </w:r>
      <w:r w:rsidRPr="009506A4">
        <w:rPr>
          <w:rFonts w:ascii="Palatino Linotype" w:hAnsi="Palatino Linotype"/>
          <w:color w:val="000000"/>
          <w:sz w:val="22"/>
          <w:szCs w:val="22"/>
        </w:rPr>
        <w:lastRenderedPageBreak/>
        <w:t xml:space="preserve">perdere persona, e gli è dato VII bastonate o XII o XXIIII, e vanno infino a le CVII, secondo ch’à fatta l’ofesa; e tuttavia ingrossano giugne‹ndo›ne X.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E·sse alcuno à tolto tanto che debbia perdere persona o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 altra grande cosa, sì è taglia[t]o per mezzo con una ispada; e se egli vuole pagare VIIII cotanto che non vale la cosa ch’egli à tolta, campa la persona.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[28]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 bestiame grosso non si guarda, ma è tutto segnato, ché colui che ’l trovasse, conosce la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nsegna del signore e rimandal[o]; peccore e bestie minute bene si guardano.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[29]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Loro bestiame è molto bello e grosso.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[30]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Ancora vi dico un’altra loro usanza, ciò che fanno ma[trimoni] tra·lloro di fanciulli morti, ciò è a dire: uno uomo à uno suo fanciullo morto; quando viene nel tempo che gli darebbe moglie se fosse vivo, alotta fa trovare uno ch’abbia una fanciulla morta che si faccia a lui, e fanno parentado insieme e danno la femina morta a l’uomo morto.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questo fanno fare carte; poscia l’ardono, e quando veggono lo fumo in aria, alotta dicono che la carta vae nell’altro mondo ove sono li loro figliuoli, e queglino si tengono per moglie e per marito nell’altro mondo.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ne fanno grandi nozze e versane assai, ché dicono che vae a li figliuoli ne l’altro mondo.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Ancora fanno dipignere in carte uccegli,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arnesi, </w:t>
      </w:r>
      <w:r w:rsidRPr="00C55578">
        <w:rPr>
          <w:rFonts w:ascii="Palatino Linotype" w:hAnsi="Palatino Linotype"/>
          <w:smallCaps/>
          <w:color w:val="000000"/>
          <w:sz w:val="22"/>
          <w:szCs w:val="22"/>
        </w:rPr>
        <w:t>bisanti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altre cose assai, e poscia le fanno ardere, e dicono che questo sarà presentato da divero ne l’altro mondo a li loro figliuoli.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questo è fatto, egli si tengono per parenti e per amici, come se gli loro figliuoli fossero vivi. </w:t>
      </w:r>
      <w:r w:rsidRPr="00C5557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Or v’abiamo contato l’usanze e gli costumi de’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ma io non v’ò contato degli grandi fatti de li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Grandi Cani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sua corte; ma io ve ne conterò in questo libro, ove si converàe. </w:t>
      </w:r>
      <w:r w:rsidRPr="00C55578">
        <w:rPr>
          <w:rFonts w:ascii="Palatino Linotype" w:hAnsi="Palatino Linotype"/>
          <w:b/>
          <w:color w:val="000000"/>
          <w:sz w:val="22"/>
          <w:szCs w:val="22"/>
        </w:rPr>
        <w:t>[36]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torneremo al grande piano che noi lasciammo quando cominciammo a ragionare de li </w:t>
      </w:r>
      <w:r w:rsidRPr="00C55578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8E0349" w:rsidSect="00C5557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55578"/>
    <w:rsid w:val="008E0349"/>
    <w:rsid w:val="0095435A"/>
    <w:rsid w:val="00C55578"/>
    <w:rsid w:val="00E5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6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55578"/>
  </w:style>
  <w:style w:type="paragraph" w:styleId="NormaleWeb">
    <w:name w:val="Normal (Web)"/>
    <w:basedOn w:val="Normale"/>
    <w:rsid w:val="00C5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2020-03-28T15:47:00Z</dcterms:created>
  <dcterms:modified xsi:type="dcterms:W3CDTF">2020-03-28T15:47:00Z</dcterms:modified>
</cp:coreProperties>
</file>