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4D" w:rsidRPr="0050064D" w:rsidRDefault="0050064D" w:rsidP="0072310A">
      <w:pPr>
        <w:pStyle w:val="Rientrocorpodeltesto"/>
        <w:spacing w:line="240" w:lineRule="auto"/>
        <w:ind w:firstLine="0"/>
        <w:rPr>
          <w:rFonts w:ascii="Palatino Linotype" w:hAnsi="Palatino Linotype"/>
          <w:b/>
          <w:sz w:val="22"/>
          <w:szCs w:val="22"/>
          <w:u w:val="single"/>
        </w:rPr>
      </w:pPr>
      <w:r w:rsidRPr="0050064D">
        <w:rPr>
          <w:rFonts w:ascii="Palatino Linotype" w:hAnsi="Palatino Linotype"/>
          <w:b/>
          <w:sz w:val="22"/>
          <w:szCs w:val="22"/>
          <w:u w:val="single"/>
        </w:rPr>
        <w:t>L, 62</w:t>
      </w:r>
    </w:p>
    <w:p w:rsidR="0050064D" w:rsidRPr="00DE609C" w:rsidRDefault="0050064D" w:rsidP="0072310A">
      <w:pPr>
        <w:pStyle w:val="Rientrocorpodeltesto"/>
        <w:spacing w:line="240" w:lineRule="auto"/>
        <w:ind w:firstLine="0"/>
        <w:rPr>
          <w:rFonts w:ascii="Palatino Linotype" w:hAnsi="Palatino Linotype"/>
          <w:sz w:val="22"/>
          <w:szCs w:val="22"/>
        </w:rPr>
      </w:pPr>
      <w:r w:rsidRPr="00DE609C">
        <w:rPr>
          <w:rFonts w:ascii="Palatino Linotype" w:hAnsi="Palatino Linotype"/>
          <w:sz w:val="22"/>
          <w:szCs w:val="22"/>
        </w:rPr>
        <w:t xml:space="preserve">De regno </w:t>
      </w:r>
      <w:r w:rsidRPr="0050064D">
        <w:rPr>
          <w:rFonts w:ascii="Palatino Linotype" w:hAnsi="Palatino Linotype"/>
          <w:i/>
          <w:sz w:val="22"/>
          <w:szCs w:val="22"/>
          <w:u w:val="single"/>
        </w:rPr>
        <w:t>Ergivul</w:t>
      </w:r>
      <w:r w:rsidRPr="00DE609C">
        <w:rPr>
          <w:rFonts w:ascii="Palatino Linotype" w:hAnsi="Palatino Linotype"/>
          <w:sz w:val="22"/>
          <w:szCs w:val="22"/>
        </w:rPr>
        <w:t>.</w:t>
      </w:r>
    </w:p>
    <w:p w:rsidR="0050064D" w:rsidRPr="00DE609C" w:rsidRDefault="0050064D" w:rsidP="0072310A">
      <w:pPr>
        <w:pStyle w:val="Rientrocorpodeltesto"/>
        <w:spacing w:line="240" w:lineRule="auto"/>
        <w:ind w:firstLine="708"/>
        <w:rPr>
          <w:rFonts w:ascii="Palatino Linotype" w:hAnsi="Palatino Linotype"/>
          <w:sz w:val="22"/>
          <w:szCs w:val="22"/>
        </w:rPr>
      </w:pPr>
    </w:p>
    <w:p w:rsidR="00507F35" w:rsidRDefault="0050064D" w:rsidP="0072310A">
      <w:pPr>
        <w:pStyle w:val="Rientrocorpodeltesto"/>
        <w:spacing w:line="240" w:lineRule="auto"/>
        <w:ind w:firstLine="0"/>
      </w:pPr>
      <w:r w:rsidRPr="0050064D">
        <w:rPr>
          <w:rFonts w:ascii="Palatino Linotype" w:hAnsi="Palatino Linotype"/>
          <w:b/>
          <w:sz w:val="22"/>
          <w:szCs w:val="22"/>
        </w:rPr>
        <w:t>[1]</w:t>
      </w:r>
      <w:r w:rsidRPr="00DE609C">
        <w:rPr>
          <w:rFonts w:ascii="Palatino Linotype" w:hAnsi="Palatino Linotype"/>
          <w:b/>
          <w:sz w:val="22"/>
          <w:szCs w:val="22"/>
        </w:rPr>
        <w:t xml:space="preserve"> </w:t>
      </w:r>
      <w:r w:rsidRPr="00DE609C">
        <w:rPr>
          <w:rFonts w:ascii="Palatino Linotype" w:hAnsi="Palatino Linotype"/>
          <w:sz w:val="22"/>
          <w:szCs w:val="22"/>
        </w:rPr>
        <w:t xml:space="preserve">Recedendo a </w:t>
      </w:r>
      <w:r w:rsidRPr="0050064D">
        <w:rPr>
          <w:rFonts w:ascii="Palatino Linotype" w:hAnsi="Palatino Linotype"/>
          <w:i/>
          <w:sz w:val="22"/>
          <w:szCs w:val="22"/>
          <w:u w:val="single"/>
        </w:rPr>
        <w:t>Campicion</w:t>
      </w:r>
      <w:r w:rsidRPr="00DE609C">
        <w:rPr>
          <w:rFonts w:ascii="Palatino Linotype" w:hAnsi="Palatino Linotype"/>
          <w:sz w:val="22"/>
          <w:szCs w:val="22"/>
        </w:rPr>
        <w:t xml:space="preserve">. itur .V. dietis, et in hac via sunt quam plures spiritus qui in nocte audiuntur loqui. </w:t>
      </w:r>
      <w:r w:rsidRPr="0050064D">
        <w:rPr>
          <w:rFonts w:ascii="Palatino Linotype" w:hAnsi="Palatino Linotype"/>
          <w:b/>
          <w:sz w:val="22"/>
          <w:szCs w:val="22"/>
        </w:rPr>
        <w:t>[2]</w:t>
      </w:r>
      <w:r w:rsidRPr="00DE609C">
        <w:rPr>
          <w:rFonts w:ascii="Palatino Linotype" w:hAnsi="Palatino Linotype"/>
          <w:sz w:val="22"/>
          <w:szCs w:val="22"/>
        </w:rPr>
        <w:t xml:space="preserve"> Et in fine harum .V. dietarum versus </w:t>
      </w:r>
      <w:r w:rsidRPr="0050064D">
        <w:rPr>
          <w:rFonts w:ascii="Palatino Linotype" w:hAnsi="Palatino Linotype"/>
          <w:smallCaps/>
          <w:sz w:val="22"/>
          <w:szCs w:val="22"/>
        </w:rPr>
        <w:t>oriens</w:t>
      </w:r>
      <w:r w:rsidRPr="00DE609C">
        <w:rPr>
          <w:rFonts w:ascii="Palatino Linotype" w:hAnsi="Palatino Linotype"/>
          <w:sz w:val="22"/>
          <w:szCs w:val="22"/>
        </w:rPr>
        <w:t xml:space="preserve"> est regnum dictum </w:t>
      </w:r>
      <w:r w:rsidRPr="0050064D">
        <w:rPr>
          <w:rFonts w:ascii="Palatino Linotype" w:hAnsi="Palatino Linotype"/>
          <w:i/>
          <w:sz w:val="22"/>
          <w:szCs w:val="22"/>
          <w:u w:val="single"/>
        </w:rPr>
        <w:t>Ergivul</w:t>
      </w:r>
      <w:r w:rsidRPr="00DE609C">
        <w:rPr>
          <w:rFonts w:ascii="Palatino Linotype" w:hAnsi="Palatino Linotype"/>
          <w:sz w:val="22"/>
          <w:szCs w:val="22"/>
        </w:rPr>
        <w:t xml:space="preserve">, quod est in supra dicta maxima provincia de </w:t>
      </w:r>
      <w:r w:rsidRPr="0050064D">
        <w:rPr>
          <w:rFonts w:ascii="Palatino Linotype" w:hAnsi="Palatino Linotype"/>
          <w:i/>
          <w:sz w:val="22"/>
          <w:szCs w:val="22"/>
          <w:u w:val="single"/>
        </w:rPr>
        <w:t>Tangut</w:t>
      </w:r>
      <w:r w:rsidRPr="00DE609C">
        <w:rPr>
          <w:rFonts w:ascii="Palatino Linotype" w:hAnsi="Palatino Linotype"/>
          <w:sz w:val="22"/>
          <w:szCs w:val="22"/>
        </w:rPr>
        <w:t xml:space="preserve">, in qua plura sunt regna. </w:t>
      </w:r>
      <w:r w:rsidRPr="0050064D">
        <w:rPr>
          <w:rFonts w:ascii="Palatino Linotype" w:hAnsi="Palatino Linotype"/>
          <w:b/>
          <w:sz w:val="22"/>
          <w:szCs w:val="22"/>
          <w:lang w:val="fr-FR"/>
        </w:rPr>
        <w:t>[3]</w:t>
      </w:r>
      <w:r w:rsidRPr="00DE609C">
        <w:rPr>
          <w:rFonts w:ascii="Palatino Linotype" w:hAnsi="Palatino Linotype"/>
          <w:sz w:val="22"/>
          <w:szCs w:val="22"/>
          <w:lang w:val="fr-FR"/>
        </w:rPr>
        <w:t xml:space="preserve"> Gentes sunt </w:t>
      </w:r>
      <w:r w:rsidRPr="0050064D">
        <w:rPr>
          <w:rFonts w:ascii="Palatino Linotype" w:hAnsi="Palatino Linotype"/>
          <w:i/>
          <w:sz w:val="22"/>
          <w:szCs w:val="22"/>
          <w:lang w:val="fr-FR"/>
        </w:rPr>
        <w:t>christiani nestorini</w:t>
      </w:r>
      <w:r w:rsidRPr="00DE609C">
        <w:rPr>
          <w:rFonts w:ascii="Palatino Linotype" w:hAnsi="Palatino Linotype"/>
          <w:sz w:val="22"/>
          <w:szCs w:val="22"/>
          <w:lang w:val="fr-FR"/>
        </w:rPr>
        <w:t xml:space="preserve"> et </w:t>
      </w:r>
      <w:r w:rsidRPr="0050064D">
        <w:rPr>
          <w:rFonts w:ascii="Palatino Linotype" w:hAnsi="Palatino Linotype"/>
          <w:smallCaps/>
          <w:sz w:val="22"/>
          <w:szCs w:val="22"/>
          <w:lang w:val="fr-FR"/>
        </w:rPr>
        <w:t>ydolatre</w:t>
      </w:r>
      <w:r w:rsidRPr="00DE609C">
        <w:rPr>
          <w:rFonts w:ascii="Palatino Linotype" w:hAnsi="Palatino Linotype"/>
          <w:sz w:val="22"/>
          <w:szCs w:val="22"/>
          <w:lang w:val="fr-FR"/>
        </w:rPr>
        <w:t xml:space="preserve">, et adorantes </w:t>
      </w:r>
      <w:r w:rsidRPr="0050064D">
        <w:rPr>
          <w:rFonts w:ascii="Palatino Linotype" w:hAnsi="Palatino Linotype"/>
          <w:i/>
          <w:sz w:val="22"/>
          <w:szCs w:val="22"/>
          <w:lang w:val="fr-FR"/>
        </w:rPr>
        <w:t>Machomet</w:t>
      </w:r>
      <w:r w:rsidRPr="00DE609C">
        <w:rPr>
          <w:rFonts w:ascii="Palatino Linotype" w:hAnsi="Palatino Linotype"/>
          <w:sz w:val="22"/>
          <w:szCs w:val="22"/>
          <w:lang w:val="fr-FR"/>
        </w:rPr>
        <w:t xml:space="preserve">. </w:t>
      </w:r>
      <w:r w:rsidRPr="0050064D">
        <w:rPr>
          <w:rFonts w:ascii="Palatino Linotype" w:hAnsi="Palatino Linotype"/>
          <w:b/>
          <w:sz w:val="22"/>
          <w:szCs w:val="22"/>
          <w:lang w:val="fr-FR"/>
        </w:rPr>
        <w:t>[4]</w:t>
      </w:r>
      <w:r w:rsidRPr="00DE609C">
        <w:rPr>
          <w:rFonts w:ascii="Palatino Linotype" w:hAnsi="Palatino Linotype"/>
          <w:sz w:val="22"/>
          <w:szCs w:val="22"/>
          <w:lang w:val="fr-FR"/>
        </w:rPr>
        <w:t xml:space="preserve"> Et in hoc regno sunt civitates et castra multa, sed principalior est </w:t>
      </w:r>
      <w:r w:rsidRPr="0050064D">
        <w:rPr>
          <w:rFonts w:ascii="Palatino Linotype" w:hAnsi="Palatino Linotype"/>
          <w:i/>
          <w:sz w:val="22"/>
          <w:szCs w:val="22"/>
          <w:u w:val="single"/>
          <w:lang w:val="fr-FR"/>
        </w:rPr>
        <w:t>Ergivul</w:t>
      </w:r>
      <w:r w:rsidRPr="00DE609C">
        <w:rPr>
          <w:rFonts w:ascii="Palatino Linotype" w:hAnsi="Palatino Linotype"/>
          <w:sz w:val="22"/>
          <w:szCs w:val="22"/>
          <w:lang w:val="fr-FR"/>
        </w:rPr>
        <w:t xml:space="preserve">. Et ab hac civitate versus </w:t>
      </w:r>
      <w:r w:rsidRPr="0050064D">
        <w:rPr>
          <w:rFonts w:ascii="Palatino Linotype" w:hAnsi="Palatino Linotype"/>
          <w:smallCaps/>
          <w:sz w:val="22"/>
          <w:szCs w:val="22"/>
          <w:lang w:val="fr-FR"/>
        </w:rPr>
        <w:t>siroch</w:t>
      </w:r>
      <w:r w:rsidRPr="00DE609C">
        <w:rPr>
          <w:rFonts w:ascii="Palatino Linotype" w:hAnsi="Palatino Linotype"/>
          <w:sz w:val="22"/>
          <w:szCs w:val="22"/>
          <w:lang w:val="fr-FR"/>
        </w:rPr>
        <w:t xml:space="preserve"> potest iri in partibus de </w:t>
      </w:r>
      <w:r w:rsidRPr="0050064D">
        <w:rPr>
          <w:rFonts w:ascii="Palatino Linotype" w:hAnsi="Palatino Linotype"/>
          <w:i/>
          <w:sz w:val="22"/>
          <w:szCs w:val="22"/>
          <w:u w:val="single"/>
          <w:lang w:val="fr-FR"/>
        </w:rPr>
        <w:t>Cattay</w:t>
      </w:r>
      <w:r w:rsidRPr="00DE609C">
        <w:rPr>
          <w:rFonts w:ascii="Palatino Linotype" w:hAnsi="Palatino Linotype"/>
          <w:sz w:val="22"/>
          <w:szCs w:val="22"/>
          <w:lang w:val="fr-FR"/>
        </w:rPr>
        <w:t xml:space="preserve">; et in ipsa via est civitas dicta </w:t>
      </w:r>
      <w:r w:rsidRPr="0050064D">
        <w:rPr>
          <w:rFonts w:ascii="Palatino Linotype" w:hAnsi="Palatino Linotype"/>
          <w:i/>
          <w:sz w:val="22"/>
          <w:szCs w:val="22"/>
          <w:u w:val="single"/>
          <w:lang w:val="fr-FR"/>
        </w:rPr>
        <w:t>Singiu</w:t>
      </w:r>
      <w:r w:rsidRPr="00DE609C">
        <w:rPr>
          <w:rFonts w:ascii="Palatino Linotype" w:hAnsi="Palatino Linotype"/>
          <w:sz w:val="22"/>
          <w:szCs w:val="22"/>
          <w:lang w:val="fr-FR"/>
        </w:rPr>
        <w:t xml:space="preserve">: et sunt hinc civitates et castra multa, et sunt eciam de provincia </w:t>
      </w:r>
      <w:r w:rsidRPr="0050064D">
        <w:rPr>
          <w:rFonts w:ascii="Palatino Linotype" w:hAnsi="Palatino Linotype"/>
          <w:i/>
          <w:sz w:val="22"/>
          <w:szCs w:val="22"/>
          <w:u w:val="single"/>
          <w:lang w:val="fr-FR"/>
        </w:rPr>
        <w:t>Tangut</w:t>
      </w:r>
      <w:r w:rsidRPr="00DE609C">
        <w:rPr>
          <w:rFonts w:ascii="Palatino Linotype" w:hAnsi="Palatino Linotype"/>
          <w:sz w:val="22"/>
          <w:szCs w:val="22"/>
          <w:lang w:val="fr-FR"/>
        </w:rPr>
        <w:t xml:space="preserve">. </w:t>
      </w:r>
      <w:r w:rsidRPr="0050064D">
        <w:rPr>
          <w:rFonts w:ascii="Palatino Linotype" w:hAnsi="Palatino Linotype"/>
          <w:b/>
          <w:sz w:val="22"/>
          <w:szCs w:val="22"/>
          <w:lang w:val="fr-FR"/>
        </w:rPr>
        <w:t>[5]</w:t>
      </w:r>
      <w:r w:rsidRPr="00DE609C">
        <w:rPr>
          <w:rFonts w:ascii="Palatino Linotype" w:hAnsi="Palatino Linotype"/>
          <w:sz w:val="22"/>
          <w:szCs w:val="22"/>
          <w:lang w:val="fr-FR"/>
        </w:rPr>
        <w:t xml:space="preserve"> Gentes sunt </w:t>
      </w:r>
      <w:r w:rsidRPr="0050064D">
        <w:rPr>
          <w:rFonts w:ascii="Palatino Linotype" w:hAnsi="Palatino Linotype"/>
          <w:smallCaps/>
          <w:sz w:val="22"/>
          <w:szCs w:val="22"/>
          <w:lang w:val="fr-FR"/>
        </w:rPr>
        <w:t>ydolatre</w:t>
      </w:r>
      <w:r w:rsidRPr="00DE609C">
        <w:rPr>
          <w:rFonts w:ascii="Palatino Linotype" w:hAnsi="Palatino Linotype"/>
          <w:sz w:val="22"/>
          <w:szCs w:val="22"/>
          <w:lang w:val="fr-FR"/>
        </w:rPr>
        <w:t xml:space="preserve">, et adorantes </w:t>
      </w:r>
      <w:r w:rsidRPr="0050064D">
        <w:rPr>
          <w:rFonts w:ascii="Palatino Linotype" w:hAnsi="Palatino Linotype"/>
          <w:i/>
          <w:sz w:val="22"/>
          <w:szCs w:val="22"/>
          <w:lang w:val="fr-FR"/>
        </w:rPr>
        <w:t>Machomet</w:t>
      </w:r>
      <w:r w:rsidRPr="00DE609C">
        <w:rPr>
          <w:rFonts w:ascii="Palatino Linotype" w:hAnsi="Palatino Linotype"/>
          <w:sz w:val="22"/>
          <w:szCs w:val="22"/>
          <w:lang w:val="fr-FR"/>
        </w:rPr>
        <w:t xml:space="preserve">, et aliqui </w:t>
      </w:r>
      <w:r w:rsidRPr="0050064D">
        <w:rPr>
          <w:rFonts w:ascii="Palatino Linotype" w:hAnsi="Palatino Linotype"/>
          <w:i/>
          <w:sz w:val="22"/>
          <w:szCs w:val="22"/>
          <w:lang w:val="fr-FR"/>
        </w:rPr>
        <w:t>christiani nestorini</w:t>
      </w:r>
      <w:r w:rsidRPr="00DE609C">
        <w:rPr>
          <w:rFonts w:ascii="Palatino Linotype" w:hAnsi="Palatino Linotype"/>
          <w:sz w:val="22"/>
          <w:szCs w:val="22"/>
          <w:lang w:val="fr-FR"/>
        </w:rPr>
        <w:t xml:space="preserve">. </w:t>
      </w:r>
      <w:r w:rsidRPr="0050064D">
        <w:rPr>
          <w:rFonts w:ascii="Palatino Linotype" w:hAnsi="Palatino Linotype"/>
          <w:b/>
          <w:sz w:val="22"/>
          <w:szCs w:val="22"/>
          <w:lang w:val="fr-FR"/>
        </w:rPr>
        <w:t>[6]</w:t>
      </w:r>
      <w:r w:rsidRPr="00DE609C">
        <w:rPr>
          <w:rFonts w:ascii="Palatino Linotype" w:hAnsi="Palatino Linotype"/>
          <w:sz w:val="22"/>
          <w:szCs w:val="22"/>
          <w:lang w:val="fr-FR"/>
        </w:rPr>
        <w:t xml:space="preserve"> Habent </w:t>
      </w:r>
      <w:r w:rsidRPr="0050064D">
        <w:rPr>
          <w:rFonts w:ascii="Palatino Linotype" w:hAnsi="Palatino Linotype"/>
          <w:smallCaps/>
          <w:sz w:val="22"/>
          <w:szCs w:val="22"/>
          <w:lang w:val="fr-FR"/>
        </w:rPr>
        <w:t>boves</w:t>
      </w:r>
      <w:r w:rsidRPr="00DE609C">
        <w:rPr>
          <w:rFonts w:ascii="Palatino Linotype" w:hAnsi="Palatino Linotype"/>
          <w:sz w:val="22"/>
          <w:szCs w:val="22"/>
          <w:lang w:val="fr-FR"/>
        </w:rPr>
        <w:t xml:space="preserve"> silvestres magnitudinis quasi </w:t>
      </w:r>
      <w:r w:rsidRPr="0050064D">
        <w:rPr>
          <w:rFonts w:ascii="Palatino Linotype" w:hAnsi="Palatino Linotype"/>
          <w:smallCaps/>
          <w:sz w:val="22"/>
          <w:szCs w:val="22"/>
          <w:lang w:val="fr-FR"/>
        </w:rPr>
        <w:t>elefantum</w:t>
      </w:r>
      <w:r w:rsidRPr="00DE609C">
        <w:rPr>
          <w:rFonts w:ascii="Palatino Linotype" w:hAnsi="Palatino Linotype"/>
          <w:sz w:val="22"/>
          <w:szCs w:val="22"/>
          <w:lang w:val="fr-FR"/>
        </w:rPr>
        <w:t xml:space="preserve">, qui sunt pulcherrimi. Sunt enim pilosi ubique preter quam in dorso, et sunt pili longitudinis circa trium </w:t>
      </w:r>
      <w:r w:rsidRPr="0050064D">
        <w:rPr>
          <w:rFonts w:ascii="Palatino Linotype" w:hAnsi="Palatino Linotype"/>
          <w:smallCaps/>
          <w:sz w:val="22"/>
          <w:szCs w:val="22"/>
          <w:lang w:val="fr-FR"/>
        </w:rPr>
        <w:t>palmorum</w:t>
      </w:r>
      <w:r w:rsidRPr="00DE609C">
        <w:rPr>
          <w:rFonts w:ascii="Palatino Linotype" w:hAnsi="Palatino Linotype"/>
          <w:sz w:val="22"/>
          <w:szCs w:val="22"/>
          <w:lang w:val="fr-FR"/>
        </w:rPr>
        <w:t xml:space="preserve">; et sunt albi et nigri. Et ex hiis </w:t>
      </w:r>
      <w:r w:rsidRPr="0050064D">
        <w:rPr>
          <w:rFonts w:ascii="Palatino Linotype" w:hAnsi="Palatino Linotype"/>
          <w:smallCaps/>
          <w:sz w:val="22"/>
          <w:szCs w:val="22"/>
          <w:lang w:val="fr-FR"/>
        </w:rPr>
        <w:t>bobus</w:t>
      </w:r>
      <w:r w:rsidRPr="00DE609C">
        <w:rPr>
          <w:rFonts w:ascii="Palatino Linotype" w:hAnsi="Palatino Linotype"/>
          <w:sz w:val="22"/>
          <w:szCs w:val="22"/>
          <w:lang w:val="fr-FR"/>
        </w:rPr>
        <w:t xml:space="preserve"> aliquos domesticaverunt, de quibus ipsa in quantitate habent, ‹cum quibus necessaria sua faciunt: sunt enim in duplo fortiores aliis, quare› laborant cum ipsis et onerant ‹ipsos›. </w:t>
      </w:r>
      <w:r w:rsidRPr="0050064D">
        <w:rPr>
          <w:rFonts w:ascii="Palatino Linotype" w:hAnsi="Palatino Linotype"/>
          <w:b/>
          <w:sz w:val="22"/>
          <w:szCs w:val="22"/>
          <w:lang w:val="fr-FR"/>
        </w:rPr>
        <w:t>[7]</w:t>
      </w:r>
      <w:r w:rsidRPr="00DE609C">
        <w:rPr>
          <w:rFonts w:ascii="Palatino Linotype" w:hAnsi="Palatino Linotype"/>
          <w:sz w:val="22"/>
          <w:szCs w:val="22"/>
          <w:lang w:val="fr-FR"/>
        </w:rPr>
        <w:t xml:space="preserve"> Et in hiis partibus nascitur optimum </w:t>
      </w:r>
      <w:r w:rsidRPr="0050064D">
        <w:rPr>
          <w:rFonts w:ascii="Palatino Linotype" w:hAnsi="Palatino Linotype"/>
          <w:smallCaps/>
          <w:sz w:val="22"/>
          <w:szCs w:val="22"/>
          <w:lang w:val="fr-FR"/>
        </w:rPr>
        <w:t>muscatum</w:t>
      </w:r>
      <w:r w:rsidRPr="00DE609C">
        <w:rPr>
          <w:rFonts w:ascii="Palatino Linotype" w:hAnsi="Palatino Linotype"/>
          <w:sz w:val="22"/>
          <w:szCs w:val="22"/>
          <w:lang w:val="fr-FR"/>
        </w:rPr>
        <w:t xml:space="preserve">, quod taliter invenitur. Est enim bestiola quedam magnitudinis </w:t>
      </w:r>
      <w:r w:rsidRPr="0050064D">
        <w:rPr>
          <w:rFonts w:ascii="Palatino Linotype" w:hAnsi="Palatino Linotype"/>
          <w:smallCaps/>
          <w:sz w:val="22"/>
          <w:szCs w:val="22"/>
          <w:lang w:val="fr-FR"/>
        </w:rPr>
        <w:t>gaçele</w:t>
      </w:r>
      <w:r w:rsidRPr="00DE609C">
        <w:rPr>
          <w:rFonts w:ascii="Palatino Linotype" w:hAnsi="Palatino Linotype"/>
          <w:sz w:val="22"/>
          <w:szCs w:val="22"/>
          <w:lang w:val="fr-FR"/>
        </w:rPr>
        <w:t xml:space="preserve">, pilum habens similitudinis cervi, grossiorem tamen multum; pedes habet in modum </w:t>
      </w:r>
      <w:r w:rsidRPr="0050064D">
        <w:rPr>
          <w:rFonts w:ascii="Palatino Linotype" w:hAnsi="Palatino Linotype"/>
          <w:smallCaps/>
          <w:sz w:val="22"/>
          <w:szCs w:val="22"/>
          <w:lang w:val="fr-FR"/>
        </w:rPr>
        <w:t>gaçele</w:t>
      </w:r>
      <w:r w:rsidRPr="00DE609C">
        <w:rPr>
          <w:rFonts w:ascii="Palatino Linotype" w:hAnsi="Palatino Linotype"/>
          <w:sz w:val="22"/>
          <w:szCs w:val="22"/>
          <w:lang w:val="fr-FR"/>
        </w:rPr>
        <w:t xml:space="preserve">, et caudam, sed caret cornibus; et habet quatuor dentes, duos videlicet de subtus ad superius tendentes, et duos de super descendentes ‹ad› inferius, et sunt subtiles et longitudinis digitorum trium. Et est pulcrum animal. In medio autem umbilici, inter </w:t>
      </w:r>
      <w:r w:rsidRPr="0072310A">
        <w:rPr>
          <w:rFonts w:ascii="Palatino Linotype" w:hAnsi="Palatino Linotype"/>
          <w:smallCaps/>
          <w:sz w:val="22"/>
          <w:szCs w:val="22"/>
          <w:lang w:val="fr-FR"/>
        </w:rPr>
        <w:t>corium</w:t>
      </w:r>
      <w:r w:rsidRPr="00DE609C">
        <w:rPr>
          <w:rFonts w:ascii="Palatino Linotype" w:hAnsi="Palatino Linotype"/>
          <w:sz w:val="22"/>
          <w:szCs w:val="22"/>
          <w:lang w:val="fr-FR"/>
        </w:rPr>
        <w:t xml:space="preserve"> et carnem, invenitur apostema sanguineum: hoc extrahunt cum parte pellis sibi coherente, et hoc est </w:t>
      </w:r>
      <w:r w:rsidRPr="0050064D">
        <w:rPr>
          <w:rFonts w:ascii="Palatino Linotype" w:hAnsi="Palatino Linotype"/>
          <w:smallCaps/>
          <w:sz w:val="22"/>
          <w:szCs w:val="22"/>
          <w:lang w:val="fr-FR"/>
        </w:rPr>
        <w:t>muscatum</w:t>
      </w:r>
      <w:r w:rsidRPr="00DE609C">
        <w:rPr>
          <w:rFonts w:ascii="Palatino Linotype" w:hAnsi="Palatino Linotype"/>
          <w:sz w:val="22"/>
          <w:szCs w:val="22"/>
          <w:lang w:val="fr-FR"/>
        </w:rPr>
        <w:t xml:space="preserve">, ex quo tam bonus emanat odor; et in hac provincia habetur in maxima quantitate. </w:t>
      </w:r>
      <w:r w:rsidRPr="0050064D">
        <w:rPr>
          <w:rFonts w:ascii="Palatino Linotype" w:hAnsi="Palatino Linotype"/>
          <w:b/>
          <w:sz w:val="22"/>
          <w:szCs w:val="22"/>
          <w:lang w:val="fr-FR"/>
        </w:rPr>
        <w:t>[8]</w:t>
      </w:r>
      <w:r w:rsidRPr="00DE609C">
        <w:rPr>
          <w:rFonts w:ascii="Palatino Linotype" w:hAnsi="Palatino Linotype"/>
          <w:sz w:val="22"/>
          <w:szCs w:val="22"/>
          <w:lang w:val="fr-FR"/>
        </w:rPr>
        <w:t xml:space="preserve"> Et habentur hic </w:t>
      </w:r>
      <w:r w:rsidRPr="0050064D">
        <w:rPr>
          <w:rFonts w:ascii="Palatino Linotype" w:hAnsi="Palatino Linotype"/>
          <w:smallCaps/>
          <w:sz w:val="22"/>
          <w:szCs w:val="22"/>
          <w:lang w:val="fr-FR"/>
        </w:rPr>
        <w:t>faxiani</w:t>
      </w:r>
      <w:r w:rsidRPr="00DE609C">
        <w:rPr>
          <w:rFonts w:ascii="Palatino Linotype" w:hAnsi="Palatino Linotype"/>
          <w:sz w:val="22"/>
          <w:szCs w:val="22"/>
          <w:lang w:val="fr-FR"/>
        </w:rPr>
        <w:t xml:space="preserve"> in duplo maiores nostris: sunt enim magnitudinis </w:t>
      </w:r>
      <w:r w:rsidRPr="0072310A">
        <w:rPr>
          <w:rFonts w:ascii="Palatino Linotype" w:hAnsi="Palatino Linotype"/>
          <w:smallCaps/>
          <w:sz w:val="22"/>
          <w:szCs w:val="22"/>
          <w:lang w:val="fr-FR"/>
        </w:rPr>
        <w:t>pavonum</w:t>
      </w:r>
      <w:r w:rsidRPr="00DE609C">
        <w:rPr>
          <w:rFonts w:ascii="Palatino Linotype" w:hAnsi="Palatino Linotype"/>
          <w:sz w:val="22"/>
          <w:szCs w:val="22"/>
          <w:lang w:val="fr-FR"/>
        </w:rPr>
        <w:t xml:space="preserve"> parum tamen minus, qui habent caudas longas ad plus .X. </w:t>
      </w:r>
      <w:r w:rsidRPr="0050064D">
        <w:rPr>
          <w:rFonts w:ascii="Palatino Linotype" w:hAnsi="Palatino Linotype"/>
          <w:smallCaps/>
          <w:sz w:val="22"/>
          <w:szCs w:val="22"/>
          <w:lang w:val="fr-FR"/>
        </w:rPr>
        <w:t>palmis</w:t>
      </w:r>
      <w:r w:rsidRPr="00DE609C">
        <w:rPr>
          <w:rFonts w:ascii="Palatino Linotype" w:hAnsi="Palatino Linotype"/>
          <w:sz w:val="22"/>
          <w:szCs w:val="22"/>
          <w:lang w:val="fr-FR"/>
        </w:rPr>
        <w:t xml:space="preserve">, et aliqui novem et aliqui .7. ‹ad minus›. </w:t>
      </w:r>
      <w:r w:rsidRPr="0050064D">
        <w:rPr>
          <w:rFonts w:ascii="Palatino Linotype" w:hAnsi="Palatino Linotype"/>
          <w:b/>
          <w:sz w:val="22"/>
          <w:szCs w:val="22"/>
          <w:lang w:val="fr-FR"/>
        </w:rPr>
        <w:t>[9]</w:t>
      </w:r>
      <w:r w:rsidRPr="00DE609C">
        <w:rPr>
          <w:rFonts w:ascii="Palatino Linotype" w:hAnsi="Palatino Linotype"/>
          <w:sz w:val="22"/>
          <w:szCs w:val="22"/>
          <w:lang w:val="fr-FR"/>
        </w:rPr>
        <w:t xml:space="preserve"> Habentur tamen </w:t>
      </w:r>
      <w:r w:rsidRPr="0050064D">
        <w:rPr>
          <w:rFonts w:ascii="Palatino Linotype" w:hAnsi="Palatino Linotype"/>
          <w:smallCaps/>
          <w:sz w:val="22"/>
          <w:szCs w:val="22"/>
          <w:lang w:val="fr-FR"/>
        </w:rPr>
        <w:t>faxiani</w:t>
      </w:r>
      <w:r w:rsidRPr="00DE609C">
        <w:rPr>
          <w:rFonts w:ascii="Palatino Linotype" w:hAnsi="Palatino Linotype"/>
          <w:sz w:val="22"/>
          <w:szCs w:val="22"/>
          <w:lang w:val="fr-FR"/>
        </w:rPr>
        <w:t xml:space="preserve"> alterius modi, qui sunt totaliter similes nostris, et eiusdem magnitudinis. </w:t>
      </w:r>
      <w:r w:rsidRPr="0050064D">
        <w:rPr>
          <w:rFonts w:ascii="Palatino Linotype" w:hAnsi="Palatino Linotype"/>
          <w:b/>
          <w:sz w:val="22"/>
          <w:szCs w:val="22"/>
          <w:lang w:val="fr-FR"/>
        </w:rPr>
        <w:t>[10]</w:t>
      </w:r>
      <w:r w:rsidRPr="00DE609C">
        <w:rPr>
          <w:rFonts w:ascii="Palatino Linotype" w:hAnsi="Palatino Linotype"/>
          <w:sz w:val="22"/>
          <w:szCs w:val="22"/>
          <w:lang w:val="fr-FR"/>
        </w:rPr>
        <w:t xml:space="preserve"> Sunt eciam multe alie maneries avium, cum valde pulcris et diversis coloribus. </w:t>
      </w:r>
      <w:r w:rsidRPr="0050064D">
        <w:rPr>
          <w:rFonts w:ascii="Palatino Linotype" w:hAnsi="Palatino Linotype"/>
          <w:b/>
          <w:sz w:val="22"/>
          <w:szCs w:val="22"/>
          <w:lang w:val="fr-FR"/>
        </w:rPr>
        <w:t>[11]</w:t>
      </w:r>
      <w:r w:rsidRPr="00DE609C">
        <w:rPr>
          <w:rFonts w:ascii="Palatino Linotype" w:hAnsi="Palatino Linotype"/>
          <w:sz w:val="22"/>
          <w:szCs w:val="22"/>
          <w:lang w:val="fr-FR"/>
        </w:rPr>
        <w:t xml:space="preserve"> Et durat hec provincia .25. dietis. </w:t>
      </w:r>
      <w:r w:rsidRPr="0050064D">
        <w:rPr>
          <w:rFonts w:ascii="Palatino Linotype" w:hAnsi="Palatino Linotype"/>
          <w:b/>
          <w:sz w:val="22"/>
          <w:szCs w:val="22"/>
          <w:lang w:val="fr-FR"/>
        </w:rPr>
        <w:t xml:space="preserve">[12] </w:t>
      </w:r>
      <w:r w:rsidRPr="00DE609C">
        <w:rPr>
          <w:rFonts w:ascii="Palatino Linotype" w:hAnsi="Palatino Linotype"/>
          <w:sz w:val="22"/>
          <w:szCs w:val="22"/>
          <w:lang w:val="fr-FR"/>
        </w:rPr>
        <w:t xml:space="preserve">Gentes vero sunt </w:t>
      </w:r>
      <w:r w:rsidRPr="0050064D">
        <w:rPr>
          <w:rFonts w:ascii="Palatino Linotype" w:hAnsi="Palatino Linotype"/>
          <w:smallCaps/>
          <w:sz w:val="22"/>
          <w:szCs w:val="22"/>
          <w:lang w:val="fr-FR"/>
        </w:rPr>
        <w:t>ydolatre</w:t>
      </w:r>
      <w:r w:rsidRPr="00DE609C">
        <w:rPr>
          <w:rFonts w:ascii="Palatino Linotype" w:hAnsi="Palatino Linotype"/>
          <w:sz w:val="22"/>
          <w:szCs w:val="22"/>
          <w:lang w:val="fr-FR"/>
        </w:rPr>
        <w:t>, et grasse, habentes parvum nasum et capillos nigros; et carent barba – habent tamen aliquos pilos in mento. Mulieres vero carent pilis ubique preter quam in capite, et habent pulcras carnes et albas; et sunt totaliter bene formate. Homines sunt luxuriosi multum, quare multas sumunt uxores, quod licite facere possunt.</w:t>
      </w:r>
    </w:p>
    <w:sectPr w:rsidR="00507F35" w:rsidSect="0050064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50064D"/>
    <w:rsid w:val="00147130"/>
    <w:rsid w:val="0050064D"/>
    <w:rsid w:val="00507F35"/>
    <w:rsid w:val="0072310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713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link w:val="RientrocorpodeltestoCarattere"/>
    <w:semiHidden/>
    <w:rsid w:val="0050064D"/>
    <w:pPr>
      <w:spacing w:after="0" w:line="300" w:lineRule="exact"/>
      <w:ind w:firstLine="284"/>
      <w:jc w:val="both"/>
    </w:pPr>
    <w:rPr>
      <w:rFonts w:ascii="Georgia" w:eastAsia="Times New Roman" w:hAnsi="Georgia" w:cs="Times New Roman"/>
      <w:noProof/>
      <w:sz w:val="24"/>
      <w:szCs w:val="20"/>
    </w:rPr>
  </w:style>
  <w:style w:type="character" w:customStyle="1" w:styleId="RientrocorpodeltestoCarattere">
    <w:name w:val="Rientro corpo del testo Carattere"/>
    <w:basedOn w:val="Carpredefinitoparagrafo"/>
    <w:link w:val="Rientrocorpodeltesto"/>
    <w:semiHidden/>
    <w:rsid w:val="0050064D"/>
    <w:rPr>
      <w:rFonts w:ascii="Georgia" w:eastAsia="Times New Roman" w:hAnsi="Georgia" w:cs="Times New Roman"/>
      <w:noProof/>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2020-03-28T17:06:00Z</dcterms:created>
  <dcterms:modified xsi:type="dcterms:W3CDTF">2020-03-28T17:06:00Z</dcterms:modified>
</cp:coreProperties>
</file>