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61" w:rsidRPr="003B0C61" w:rsidRDefault="003B0C61" w:rsidP="00B12CB5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3B0C61">
        <w:rPr>
          <w:rFonts w:ascii="Palatino Linotype" w:hAnsi="Palatino Linotype"/>
          <w:b/>
          <w:sz w:val="22"/>
          <w:szCs w:val="22"/>
          <w:u w:val="single"/>
        </w:rPr>
        <w:t xml:space="preserve">L, </w:t>
      </w:r>
      <w:r w:rsidRPr="003B0C61">
        <w:rPr>
          <w:rFonts w:ascii="Palatino Linotype" w:hAnsi="Palatino Linotype"/>
          <w:b/>
          <w:sz w:val="22"/>
          <w:szCs w:val="22"/>
          <w:u w:val="single"/>
          <w:lang w:val="fr-FR"/>
        </w:rPr>
        <w:t>64</w:t>
      </w:r>
    </w:p>
    <w:p w:rsidR="003B0C61" w:rsidRPr="003B0C61" w:rsidRDefault="003B0C61" w:rsidP="00B12CB5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3B0C61">
        <w:rPr>
          <w:rFonts w:ascii="Palatino Linotype" w:hAnsi="Palatino Linotype"/>
          <w:sz w:val="22"/>
          <w:szCs w:val="22"/>
          <w:lang w:val="fr-FR"/>
        </w:rPr>
        <w:t xml:space="preserve">De provincia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Tenduc</w:t>
      </w:r>
      <w:r w:rsidRPr="003B0C61">
        <w:rPr>
          <w:rFonts w:ascii="Palatino Linotype" w:hAnsi="Palatino Linotype"/>
          <w:sz w:val="22"/>
          <w:szCs w:val="22"/>
          <w:lang w:val="fr-FR"/>
        </w:rPr>
        <w:t>.</w:t>
      </w:r>
    </w:p>
    <w:p w:rsidR="003B0C61" w:rsidRPr="003B0C61" w:rsidRDefault="003B0C61" w:rsidP="00B12CB5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B12CB5" w:rsidRDefault="003B0C61" w:rsidP="00B12CB5">
      <w:pPr>
        <w:pStyle w:val="Rientrocorpodeltesto"/>
        <w:spacing w:line="240" w:lineRule="auto"/>
        <w:ind w:firstLine="0"/>
      </w:pPr>
      <w:r w:rsidRPr="003B0C61">
        <w:rPr>
          <w:rFonts w:ascii="Palatino Linotype" w:hAnsi="Palatino Linotype"/>
          <w:b/>
          <w:sz w:val="22"/>
          <w:szCs w:val="22"/>
          <w:lang w:val="fr-FR"/>
        </w:rPr>
        <w:t>[1]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Tenduc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est provincia versus </w:t>
      </w:r>
      <w:r w:rsidRPr="00B12CB5">
        <w:rPr>
          <w:rFonts w:ascii="Palatino Linotype" w:hAnsi="Palatino Linotype"/>
          <w:smallCaps/>
          <w:sz w:val="22"/>
          <w:szCs w:val="22"/>
          <w:lang w:val="fr-FR"/>
        </w:rPr>
        <w:t>oriens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est ex provinciis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Unc Kanis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(id est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Presbiter Iohannis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), in qua sunt civitates et castra multa; principalis tamen civitas dicitur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Tenduc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 xml:space="preserve">[2] 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Et in hac provincia est dominus unus ex progenie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Presbiteri Iohannis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et usque ad hoc tempus sic dicitur; sed proprium nomen regnantis ad presens est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Georgius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qui est sextus a tempore quo huic provincie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Tartari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dominati sunt. </w:t>
      </w:r>
      <w:r w:rsidRPr="003B0C61">
        <w:rPr>
          <w:rFonts w:ascii="Palatino Linotype" w:hAnsi="Palatino Linotype"/>
          <w:b/>
          <w:sz w:val="22"/>
          <w:szCs w:val="22"/>
        </w:rPr>
        <w:t>[3]</w:t>
      </w:r>
      <w:r w:rsidRPr="003B0C61">
        <w:rPr>
          <w:rFonts w:ascii="Palatino Linotype" w:hAnsi="Palatino Linotype"/>
          <w:sz w:val="22"/>
          <w:szCs w:val="22"/>
        </w:rPr>
        <w:t xml:space="preserve"> In hac provincia invenitur </w:t>
      </w:r>
      <w:r w:rsidRPr="003B0C61">
        <w:rPr>
          <w:rFonts w:ascii="Palatino Linotype" w:hAnsi="Palatino Linotype"/>
          <w:smallCaps/>
          <w:sz w:val="22"/>
          <w:szCs w:val="22"/>
        </w:rPr>
        <w:t>lapis laçuli</w:t>
      </w:r>
      <w:r w:rsidRPr="003B0C61">
        <w:rPr>
          <w:rFonts w:ascii="Palatino Linotype" w:hAnsi="Palatino Linotype"/>
          <w:sz w:val="22"/>
          <w:szCs w:val="22"/>
        </w:rPr>
        <w:t xml:space="preserve">, ex quo fit </w:t>
      </w:r>
      <w:r w:rsidRPr="003B0C61">
        <w:rPr>
          <w:rFonts w:ascii="Palatino Linotype" w:hAnsi="Palatino Linotype"/>
          <w:smallCaps/>
          <w:sz w:val="22"/>
          <w:szCs w:val="22"/>
        </w:rPr>
        <w:t>açurum</w:t>
      </w:r>
      <w:r w:rsidRPr="003B0C61">
        <w:rPr>
          <w:rFonts w:ascii="Palatino Linotype" w:hAnsi="Palatino Linotype"/>
          <w:sz w:val="22"/>
          <w:szCs w:val="22"/>
        </w:rPr>
        <w:t xml:space="preserve">; et habetur in multa quantitate. </w:t>
      </w:r>
      <w:r w:rsidRPr="003B0C61">
        <w:rPr>
          <w:rFonts w:ascii="Palatino Linotype" w:hAnsi="Palatino Linotype"/>
          <w:b/>
          <w:sz w:val="22"/>
          <w:szCs w:val="22"/>
        </w:rPr>
        <w:t xml:space="preserve">[4] </w:t>
      </w:r>
      <w:r w:rsidRPr="003B0C61">
        <w:rPr>
          <w:rFonts w:ascii="Palatino Linotype" w:hAnsi="Palatino Linotype"/>
          <w:sz w:val="22"/>
          <w:szCs w:val="22"/>
        </w:rPr>
        <w:t xml:space="preserve">Fiunt eciam </w:t>
      </w:r>
      <w:r w:rsidRPr="003B0C61">
        <w:rPr>
          <w:rFonts w:ascii="Palatino Linotype" w:hAnsi="Palatino Linotype"/>
          <w:smallCaps/>
          <w:sz w:val="22"/>
          <w:szCs w:val="22"/>
        </w:rPr>
        <w:t>çambelotti</w:t>
      </w:r>
      <w:r w:rsidRPr="003B0C61">
        <w:rPr>
          <w:rFonts w:ascii="Palatino Linotype" w:hAnsi="Palatino Linotype"/>
          <w:sz w:val="22"/>
          <w:szCs w:val="22"/>
        </w:rPr>
        <w:t xml:space="preserve"> ex pilis </w:t>
      </w:r>
      <w:r w:rsidRPr="003B0C61">
        <w:rPr>
          <w:rFonts w:ascii="Palatino Linotype" w:hAnsi="Palatino Linotype"/>
          <w:smallCaps/>
          <w:sz w:val="22"/>
          <w:szCs w:val="22"/>
        </w:rPr>
        <w:t>camelorum</w:t>
      </w:r>
      <w:r w:rsidRPr="003B0C61">
        <w:rPr>
          <w:rFonts w:ascii="Palatino Linotype" w:hAnsi="Palatino Linotype"/>
          <w:sz w:val="22"/>
          <w:szCs w:val="22"/>
        </w:rPr>
        <w:t xml:space="preserve"> valde boni.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>[5]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Hee gentes vivunt ut plurimum ex fructibus terre, licet aliqui modici sint mercatores et artiste.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>[6]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Dominium huius provincie est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christianorum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|10bis| licet sint ibi quam plures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ydolatre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adorantes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Machomet</w:t>
      </w:r>
      <w:r w:rsidRPr="003B0C61">
        <w:rPr>
          <w:rFonts w:ascii="Palatino Linotype" w:hAnsi="Palatino Linotype"/>
          <w:sz w:val="22"/>
          <w:szCs w:val="22"/>
          <w:lang w:val="fr-FR"/>
        </w:rPr>
        <w:t>. Et aliqui sunt nati ex diversis maneriebus gentium quos ‘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Argon’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dicunt; et sunt hee gentes pulcriores et sapientiores aliis illius provincie, et magis mercatores.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 xml:space="preserve">[7] 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Et in hac civitate fuit sedes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Presbiteri Iohannis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quando dominabatur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Tartaris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aliis circumstantiis provinciis; et adhuc suorum descendentium sedes existit.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>[8]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hec sunt loca que appellamus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Og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Magog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sed in eorum lingua dicunt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Ung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Mungul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; et in qualibet harum provinciarum sunt diverse gentes, quia in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Ung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manent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Og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in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Mungul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Tartari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 xml:space="preserve">[9] 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Et eundo per hanc provinciam .VII. dietis per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oriens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versus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Catay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inveniuntur multe civitates et castra, in quibus sunt adorantes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Machomet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et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ydolatre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aliqui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christiani nestorini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; et sunt mercatores homines et artiste.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 xml:space="preserve">[10] 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Fiunt ibi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panni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aurei optimi, dicti ‘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nassici’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‘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nach’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et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panni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de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seta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diversarum manerierum.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>[11]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Est eciam civitas quedam dicta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Sindatui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in qua fiunt diverse artes et maxime armamenta.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>[12]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in montibus huius provincie est locus nominatus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Ydifu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ubi foditur vena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argenti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in maxima quantitate.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>[13]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sunt in partibus istis bone venationes tam avium quam bestiarum.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 xml:space="preserve">[14] 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Et tribus dietis ultra est civitas dicta </w:t>
      </w:r>
      <w:r w:rsidRPr="003B0C61">
        <w:rPr>
          <w:rFonts w:ascii="Palatino Linotype" w:hAnsi="Palatino Linotype"/>
          <w:i/>
          <w:sz w:val="22"/>
          <w:szCs w:val="22"/>
          <w:u w:val="single"/>
          <w:lang w:val="fr-FR"/>
        </w:rPr>
        <w:t>Ciagannuor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quod sonat in latino ‘Stagnum album’, in qua est palacium magnum </w:t>
      </w:r>
      <w:r w:rsidRPr="003B0C61">
        <w:rPr>
          <w:rFonts w:ascii="Palatino Linotype" w:hAnsi="Palatino Linotype"/>
          <w:i/>
          <w:sz w:val="22"/>
          <w:szCs w:val="22"/>
          <w:lang w:val="fr-FR"/>
        </w:rPr>
        <w:t>Grandis Canis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; et sunt hinc lacus et flumina multa, in quibus sunt multi cigni. Sunt eciam ibi multe planities, in quibus sunt multe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grues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faxiani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et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perdices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et multa alia genera avium. </w:t>
      </w:r>
      <w:r w:rsidRPr="003B0C61">
        <w:rPr>
          <w:rFonts w:ascii="Palatino Linotype" w:hAnsi="Palatino Linotype"/>
          <w:b/>
          <w:sz w:val="22"/>
          <w:szCs w:val="22"/>
          <w:lang w:val="fr-FR"/>
        </w:rPr>
        <w:t xml:space="preserve">[15] 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Et habent eciam quinque maneries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gruum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. Quedam enim sunt totaliter nigre sicud corvus, et sunt valde magne. Quedam totaliter albe; sed in alis quasi per omnes pennas ‹alarum› habent oculos in modum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pavonum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, et eciam in caudis, et sunt coloris aurei valde lucentes; caput habent rubeum et nigrum, bene protractum; collum habent album et nigrum, et sunt longe maiores aliis. Tercia maneries est per omnem modum similis nostris; et quedam sunt parve habentes ad auriculas pennas longas, rubeas et nigras, valde pulcras. Sunt eciam alie </w:t>
      </w:r>
      <w:r w:rsidRPr="003B0C61">
        <w:rPr>
          <w:rFonts w:ascii="Palatino Linotype" w:hAnsi="Palatino Linotype"/>
          <w:smallCaps/>
          <w:sz w:val="22"/>
          <w:szCs w:val="22"/>
          <w:lang w:val="fr-FR"/>
        </w:rPr>
        <w:t>grues</w:t>
      </w:r>
      <w:r w:rsidRPr="003B0C61">
        <w:rPr>
          <w:rFonts w:ascii="Palatino Linotype" w:hAnsi="Palatino Linotype"/>
          <w:sz w:val="22"/>
          <w:szCs w:val="22"/>
          <w:lang w:val="fr-FR"/>
        </w:rPr>
        <w:t xml:space="preserve"> totaliter grissee, caput habentes rubeum et nigrum; et sunt pulcre valde et magne.</w:t>
      </w:r>
    </w:p>
    <w:sectPr w:rsidR="00B12CB5" w:rsidSect="003B0C6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B0C61"/>
    <w:rsid w:val="003B0C61"/>
    <w:rsid w:val="00893894"/>
    <w:rsid w:val="00B12CB5"/>
    <w:rsid w:val="00B53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33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3B0C61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3B0C61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2020-03-28T18:47:00Z</dcterms:created>
  <dcterms:modified xsi:type="dcterms:W3CDTF">2020-03-28T18:47:00Z</dcterms:modified>
</cp:coreProperties>
</file>