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E2" w:rsidRPr="00FE5BE2" w:rsidRDefault="00FE5BE2" w:rsidP="00601B7E">
      <w:pPr>
        <w:pStyle w:val="Rientrocorpodeltesto"/>
        <w:tabs>
          <w:tab w:val="left" w:pos="8222"/>
        </w:tabs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FE5BE2">
        <w:rPr>
          <w:rFonts w:ascii="Palatino Linotype" w:hAnsi="Palatino Linotype"/>
          <w:b/>
          <w:sz w:val="22"/>
          <w:szCs w:val="22"/>
          <w:u w:val="single"/>
          <w:lang w:val="fr-FR"/>
        </w:rPr>
        <w:t>L, 65</w:t>
      </w:r>
    </w:p>
    <w:p w:rsidR="00FE5BE2" w:rsidRPr="00DE609C" w:rsidRDefault="00FE5BE2" w:rsidP="00601B7E">
      <w:pPr>
        <w:pStyle w:val="Rientrocorpodeltesto"/>
        <w:tabs>
          <w:tab w:val="left" w:pos="8222"/>
        </w:tabs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  <w:r w:rsidRPr="00DE609C">
        <w:rPr>
          <w:rFonts w:ascii="Palatino Linotype" w:hAnsi="Palatino Linotype"/>
          <w:sz w:val="22"/>
          <w:szCs w:val="22"/>
          <w:lang w:val="fr-FR"/>
        </w:rPr>
        <w:t xml:space="preserve">De civitate </w:t>
      </w:r>
      <w:r w:rsidRPr="00FE5BE2">
        <w:rPr>
          <w:rFonts w:ascii="Palatino Linotype" w:hAnsi="Palatino Linotype"/>
          <w:i/>
          <w:sz w:val="22"/>
          <w:szCs w:val="22"/>
          <w:u w:val="single"/>
          <w:lang w:val="fr-FR"/>
        </w:rPr>
        <w:t>Ciandu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et de quodam pallatio </w:t>
      </w:r>
      <w:r w:rsidRPr="00FE5BE2">
        <w:rPr>
          <w:rFonts w:ascii="Palatino Linotype" w:hAnsi="Palatino Linotype"/>
          <w:i/>
          <w:sz w:val="22"/>
          <w:szCs w:val="22"/>
          <w:u w:val="single"/>
          <w:lang w:val="fr-FR"/>
        </w:rPr>
        <w:t>Magni Canis</w:t>
      </w:r>
      <w:r w:rsidRPr="00DE609C">
        <w:rPr>
          <w:rFonts w:ascii="Palatino Linotype" w:hAnsi="Palatino Linotype"/>
          <w:sz w:val="22"/>
          <w:szCs w:val="22"/>
          <w:lang w:val="fr-FR"/>
        </w:rPr>
        <w:t>.</w:t>
      </w:r>
    </w:p>
    <w:p w:rsidR="00FE5BE2" w:rsidRPr="00DE609C" w:rsidRDefault="00FE5BE2" w:rsidP="00601B7E">
      <w:pPr>
        <w:pStyle w:val="Rientrocorpodeltesto"/>
        <w:tabs>
          <w:tab w:val="left" w:pos="8222"/>
        </w:tabs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</w:p>
    <w:p w:rsidR="0011581F" w:rsidRDefault="00FE5BE2" w:rsidP="00601B7E">
      <w:pPr>
        <w:pStyle w:val="Rientrocorpodeltesto"/>
        <w:tabs>
          <w:tab w:val="left" w:pos="8222"/>
        </w:tabs>
        <w:spacing w:line="240" w:lineRule="auto"/>
        <w:ind w:firstLine="0"/>
      </w:pPr>
      <w:r w:rsidRPr="00FE5BE2">
        <w:rPr>
          <w:rFonts w:ascii="Palatino Linotype" w:hAnsi="Palatino Linotype"/>
          <w:b/>
          <w:sz w:val="22"/>
          <w:szCs w:val="22"/>
          <w:lang w:val="fr-FR"/>
        </w:rPr>
        <w:t>[1]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Et ab hac civitate itur tribus dietis inter </w:t>
      </w:r>
      <w:r w:rsidRPr="00FE5BE2">
        <w:rPr>
          <w:rFonts w:ascii="Palatino Linotype" w:hAnsi="Palatino Linotype"/>
          <w:smallCaps/>
          <w:sz w:val="22"/>
          <w:szCs w:val="22"/>
          <w:lang w:val="fr-FR"/>
        </w:rPr>
        <w:t>oriens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et </w:t>
      </w:r>
      <w:r w:rsidRPr="00FE5BE2">
        <w:rPr>
          <w:rFonts w:ascii="Palatino Linotype" w:hAnsi="Palatino Linotype"/>
          <w:smallCaps/>
          <w:sz w:val="22"/>
          <w:szCs w:val="22"/>
          <w:lang w:val="fr-FR"/>
        </w:rPr>
        <w:t>grecum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et tunc est civitas dicta </w:t>
      </w:r>
      <w:r w:rsidRPr="00FE5BE2">
        <w:rPr>
          <w:rFonts w:ascii="Palatino Linotype" w:hAnsi="Palatino Linotype"/>
          <w:i/>
          <w:sz w:val="22"/>
          <w:szCs w:val="22"/>
          <w:u w:val="single"/>
          <w:lang w:val="fr-FR"/>
        </w:rPr>
        <w:t>Ciandu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quam fieri fecit </w:t>
      </w:r>
      <w:r w:rsidRPr="00FE5BE2">
        <w:rPr>
          <w:rFonts w:ascii="Palatino Linotype" w:hAnsi="Palatino Linotype"/>
          <w:i/>
          <w:sz w:val="22"/>
          <w:szCs w:val="22"/>
          <w:lang w:val="fr-FR"/>
        </w:rPr>
        <w:t>Cublay Kan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. </w:t>
      </w:r>
      <w:r w:rsidRPr="00FE5BE2">
        <w:rPr>
          <w:rFonts w:ascii="Palatino Linotype" w:hAnsi="Palatino Linotype"/>
          <w:b/>
          <w:sz w:val="22"/>
          <w:szCs w:val="22"/>
          <w:lang w:val="fr-FR"/>
        </w:rPr>
        <w:t xml:space="preserve">[2] 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In qua est pallatium marmoreum maximum, cuius sale et camere omnes sunt deaurate, et est mirabiliter factum. Prope quod est viridarium sibi coniunctum, totaliter muro cinctum circuitus </w:t>
      </w:r>
      <w:r w:rsidRPr="00FE5BE2">
        <w:rPr>
          <w:rFonts w:ascii="Palatino Linotype" w:hAnsi="Palatino Linotype"/>
          <w:smallCaps/>
          <w:sz w:val="22"/>
          <w:szCs w:val="22"/>
          <w:lang w:val="fr-FR"/>
        </w:rPr>
        <w:t>miliariorum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.XVI.</w:t>
      </w:r>
      <w:r w:rsidRPr="00DE609C">
        <w:rPr>
          <w:rFonts w:ascii="Palatino Linotype" w:hAnsi="Palatino Linotype"/>
          <w:smallCaps/>
          <w:sz w:val="22"/>
          <w:szCs w:val="22"/>
          <w:lang w:val="fr-FR"/>
        </w:rPr>
        <w:t>;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in hoc viridario sunt fontes, et flumina et plantationes; suntque ibi diverse species bestiarum. </w:t>
      </w:r>
      <w:r w:rsidRPr="00FE5BE2">
        <w:rPr>
          <w:rFonts w:ascii="Palatino Linotype" w:hAnsi="Palatino Linotype"/>
          <w:b/>
          <w:sz w:val="22"/>
          <w:szCs w:val="22"/>
          <w:lang w:val="fr-FR"/>
        </w:rPr>
        <w:t>[3]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Et in medio huius viridarii est pallatium sive logia, tota super columpnas. Et in summitate cuiuslibet columpne est </w:t>
      </w:r>
      <w:r w:rsidRPr="00FE5BE2">
        <w:rPr>
          <w:rFonts w:ascii="Palatino Linotype" w:hAnsi="Palatino Linotype"/>
          <w:smallCaps/>
          <w:sz w:val="22"/>
          <w:szCs w:val="22"/>
          <w:lang w:val="fr-FR"/>
        </w:rPr>
        <w:t>draco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magnus circumdans totam columpnam, et hic substinet cooperturam cum ore et pedibus. </w:t>
      </w:r>
      <w:r w:rsidRPr="00FE5BE2">
        <w:rPr>
          <w:rFonts w:ascii="Palatino Linotype" w:hAnsi="Palatino Linotype"/>
          <w:b/>
          <w:sz w:val="22"/>
          <w:szCs w:val="22"/>
          <w:lang w:val="fr-FR"/>
        </w:rPr>
        <w:t>[4]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Et est coopertura tota de </w:t>
      </w:r>
      <w:r w:rsidRPr="00FE5BE2">
        <w:rPr>
          <w:rFonts w:ascii="Palatino Linotype" w:hAnsi="Palatino Linotype"/>
          <w:smallCaps/>
          <w:sz w:val="22"/>
          <w:szCs w:val="22"/>
          <w:lang w:val="fr-FR"/>
        </w:rPr>
        <w:t>cannis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hoc modo: sunt enim </w:t>
      </w:r>
      <w:r w:rsidRPr="00FE5BE2">
        <w:rPr>
          <w:rFonts w:ascii="Palatino Linotype" w:hAnsi="Palatino Linotype"/>
          <w:smallCaps/>
          <w:sz w:val="22"/>
          <w:szCs w:val="22"/>
          <w:lang w:val="fr-FR"/>
        </w:rPr>
        <w:t>canne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grosse plus tribus </w:t>
      </w:r>
      <w:r w:rsidRPr="00FE5BE2">
        <w:rPr>
          <w:rFonts w:ascii="Palatino Linotype" w:hAnsi="Palatino Linotype"/>
          <w:smallCaps/>
          <w:sz w:val="22"/>
          <w:szCs w:val="22"/>
          <w:lang w:val="fr-FR"/>
        </w:rPr>
        <w:t>palmis</w:t>
      </w:r>
      <w:r w:rsidRPr="00DE609C">
        <w:rPr>
          <w:rFonts w:ascii="Palatino Linotype" w:hAnsi="Palatino Linotype"/>
          <w:sz w:val="22"/>
          <w:szCs w:val="22"/>
          <w:lang w:val="fr-FR"/>
        </w:rPr>
        <w:t>, et sunt longe a .X. ‹</w:t>
      </w:r>
      <w:r w:rsidRPr="00FE5BE2">
        <w:rPr>
          <w:rFonts w:ascii="Palatino Linotype" w:hAnsi="Palatino Linotype"/>
          <w:smallCaps/>
          <w:sz w:val="22"/>
          <w:szCs w:val="22"/>
          <w:lang w:val="fr-FR"/>
        </w:rPr>
        <w:t>passibus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› usque ad .15., quas secant inter nodum et nodum scinduntque per medium, sicque remanent in modum tegularum. </w:t>
      </w:r>
      <w:r w:rsidRPr="00FE5BE2">
        <w:rPr>
          <w:rFonts w:ascii="Palatino Linotype" w:hAnsi="Palatino Linotype"/>
          <w:b/>
          <w:sz w:val="22"/>
          <w:szCs w:val="22"/>
          <w:lang w:val="fr-FR"/>
        </w:rPr>
        <w:t xml:space="preserve">[5] 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Et ex hiis tam grossis </w:t>
      </w:r>
      <w:r w:rsidRPr="00FE5BE2">
        <w:rPr>
          <w:rFonts w:ascii="Palatino Linotype" w:hAnsi="Palatino Linotype"/>
          <w:smallCaps/>
          <w:sz w:val="22"/>
          <w:szCs w:val="22"/>
          <w:lang w:val="fr-FR"/>
        </w:rPr>
        <w:t>cannis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potest fieri domus quelibet, quare ex ipsis est totum hoc pallacium factum; estque taliter ordinatum quod facile potest relevari leviterque construi. </w:t>
      </w:r>
      <w:r w:rsidRPr="00FE5BE2">
        <w:rPr>
          <w:rFonts w:ascii="Palatino Linotype" w:hAnsi="Palatino Linotype"/>
          <w:b/>
          <w:sz w:val="22"/>
          <w:szCs w:val="22"/>
          <w:lang w:val="fr-FR"/>
        </w:rPr>
        <w:t xml:space="preserve">[6] 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In hoc autem loco moratur </w:t>
      </w:r>
      <w:r w:rsidRPr="00FE5BE2">
        <w:rPr>
          <w:rFonts w:ascii="Palatino Linotype" w:hAnsi="Palatino Linotype"/>
          <w:i/>
          <w:sz w:val="22"/>
          <w:szCs w:val="22"/>
          <w:lang w:val="fr-FR"/>
        </w:rPr>
        <w:t>Magnus Chanis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tribus mensibus annis ut caloris estum evitetur, scilicet in iunio iulio et augusto; et .XXVIII. die augusti recedit. Sed qualiter tali die recedat statim dicetur. </w:t>
      </w:r>
      <w:r w:rsidRPr="00FE5BE2">
        <w:rPr>
          <w:rFonts w:ascii="Palatino Linotype" w:hAnsi="Palatino Linotype"/>
          <w:b/>
          <w:sz w:val="22"/>
          <w:szCs w:val="22"/>
          <w:lang w:val="fr-FR"/>
        </w:rPr>
        <w:t>[7]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Quod si accideret, dum </w:t>
      </w:r>
      <w:r w:rsidRPr="00FE5BE2">
        <w:rPr>
          <w:rFonts w:ascii="Palatino Linotype" w:hAnsi="Palatino Linotype"/>
          <w:i/>
          <w:sz w:val="22"/>
          <w:szCs w:val="22"/>
          <w:lang w:val="fr-FR"/>
        </w:rPr>
        <w:t xml:space="preserve">Magnus Chanis 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manet hiis temporibus in pallacio suo, quod aer nubilis inficeretur vel pluvia, adsunt incantatores quorum sciencia tales nubes vel pluvie separantur quod, licet circumassistant, tamen pallacium non attingunt. </w:t>
      </w:r>
      <w:r w:rsidRPr="00FE5BE2">
        <w:rPr>
          <w:rFonts w:ascii="Palatino Linotype" w:hAnsi="Palatino Linotype"/>
          <w:b/>
          <w:sz w:val="22"/>
          <w:szCs w:val="22"/>
          <w:lang w:val="fr-FR"/>
        </w:rPr>
        <w:t>[8]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Et hoc facientes sunt duo genera gentium </w:t>
      </w:r>
      <w:r w:rsidRPr="00FE5BE2">
        <w:rPr>
          <w:rFonts w:ascii="Palatino Linotype" w:hAnsi="Palatino Linotype"/>
          <w:smallCaps/>
          <w:sz w:val="22"/>
          <w:szCs w:val="22"/>
          <w:lang w:val="fr-FR"/>
        </w:rPr>
        <w:t>ydolatarum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videlicet </w:t>
      </w:r>
      <w:r w:rsidRPr="00FE5BE2">
        <w:rPr>
          <w:rFonts w:ascii="Palatino Linotype" w:hAnsi="Palatino Linotype"/>
          <w:i/>
          <w:sz w:val="22"/>
          <w:szCs w:val="22"/>
          <w:lang w:val="fr-FR"/>
        </w:rPr>
        <w:t>Tebet et Quesimur</w:t>
      </w:r>
      <w:r w:rsidRPr="00DE609C">
        <w:rPr>
          <w:rFonts w:ascii="Palatino Linotype" w:hAnsi="Palatino Linotype"/>
          <w:sz w:val="22"/>
          <w:szCs w:val="22"/>
          <w:lang w:val="fr-FR"/>
        </w:rPr>
        <w:t>, et dicuntur ‘</w:t>
      </w:r>
      <w:r w:rsidRPr="00FE5BE2">
        <w:rPr>
          <w:rFonts w:ascii="Palatino Linotype" w:hAnsi="Palatino Linotype"/>
          <w:i/>
          <w:sz w:val="22"/>
          <w:szCs w:val="22"/>
          <w:lang w:val="fr-FR"/>
        </w:rPr>
        <w:t>bacsi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’. </w:t>
      </w:r>
      <w:r w:rsidRPr="00FE5BE2">
        <w:rPr>
          <w:rFonts w:ascii="Palatino Linotype" w:hAnsi="Palatino Linotype"/>
          <w:b/>
          <w:sz w:val="22"/>
          <w:szCs w:val="22"/>
          <w:lang w:val="fr-FR"/>
        </w:rPr>
        <w:t>[9]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Faciunt eciam aliud. Dum </w:t>
      </w:r>
      <w:r w:rsidRPr="00FE5BE2">
        <w:rPr>
          <w:rFonts w:ascii="Palatino Linotype" w:hAnsi="Palatino Linotype"/>
          <w:i/>
          <w:sz w:val="22"/>
          <w:szCs w:val="22"/>
          <w:lang w:val="fr-FR"/>
        </w:rPr>
        <w:t>Magnus Canis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sedet in mensa, que est altitudinis .VIII. </w:t>
      </w:r>
      <w:r w:rsidRPr="00FE5BE2">
        <w:rPr>
          <w:rFonts w:ascii="Palatino Linotype" w:hAnsi="Palatino Linotype"/>
          <w:smallCaps/>
          <w:sz w:val="22"/>
          <w:szCs w:val="22"/>
          <w:lang w:val="fr-FR"/>
        </w:rPr>
        <w:t>cubitorum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manent cyphi in medio sale pleni aliquo bono potu, a tabula bene .X. passibus elongati; hos ergo incantationibus suis faciunt ex pavimento absque aliquo movente levari, et ante dominum – cum ‹bibere› voluerit – presentari. </w:t>
      </w:r>
      <w:r w:rsidRPr="00DE609C">
        <w:rPr>
          <w:rFonts w:ascii="Palatino Linotype" w:hAnsi="Palatino Linotype"/>
          <w:sz w:val="22"/>
          <w:szCs w:val="22"/>
        </w:rPr>
        <w:t>Hocque est verissimum: fit enim quandoque vero hoc aliquando in presentia .</w:t>
      </w:r>
      <w:r w:rsidRPr="00DE609C">
        <w:rPr>
          <w:rFonts w:ascii="Palatino Linotype" w:hAnsi="Palatino Linotype"/>
          <w:smallCaps/>
          <w:sz w:val="22"/>
          <w:szCs w:val="22"/>
        </w:rPr>
        <w:t>X</w:t>
      </w:r>
      <w:r w:rsidRPr="00DE609C">
        <w:rPr>
          <w:rFonts w:ascii="Palatino Linotype" w:hAnsi="Palatino Linotype"/>
          <w:sz w:val="22"/>
          <w:szCs w:val="22"/>
          <w:vertAlign w:val="superscript"/>
        </w:rPr>
        <w:t>m</w:t>
      </w:r>
      <w:r w:rsidRPr="00DE609C">
        <w:rPr>
          <w:rFonts w:ascii="Palatino Linotype" w:hAnsi="Palatino Linotype"/>
          <w:sz w:val="22"/>
          <w:szCs w:val="22"/>
        </w:rPr>
        <w:t xml:space="preserve">. personarum. </w:t>
      </w:r>
      <w:r w:rsidRPr="00FE5BE2">
        <w:rPr>
          <w:rFonts w:ascii="Palatino Linotype" w:hAnsi="Palatino Linotype"/>
          <w:b/>
          <w:sz w:val="22"/>
          <w:szCs w:val="22"/>
        </w:rPr>
        <w:t>[10]</w:t>
      </w:r>
      <w:r w:rsidRPr="00DE609C">
        <w:rPr>
          <w:rFonts w:ascii="Palatino Linotype" w:hAnsi="Palatino Linotype"/>
          <w:sz w:val="22"/>
          <w:szCs w:val="22"/>
        </w:rPr>
        <w:t xml:space="preserve"> Habet </w:t>
      </w:r>
      <w:r w:rsidRPr="00FE5BE2">
        <w:rPr>
          <w:rFonts w:ascii="Palatino Linotype" w:hAnsi="Palatino Linotype"/>
          <w:i/>
          <w:sz w:val="22"/>
          <w:szCs w:val="22"/>
        </w:rPr>
        <w:t>Magnus Canis</w:t>
      </w:r>
      <w:r w:rsidRPr="00DE609C">
        <w:rPr>
          <w:rFonts w:ascii="Palatino Linotype" w:hAnsi="Palatino Linotype"/>
          <w:sz w:val="22"/>
          <w:szCs w:val="22"/>
        </w:rPr>
        <w:t xml:space="preserve"> armentum maximum </w:t>
      </w:r>
      <w:r w:rsidRPr="00FE5BE2">
        <w:rPr>
          <w:rFonts w:ascii="Palatino Linotype" w:hAnsi="Palatino Linotype"/>
          <w:smallCaps/>
          <w:sz w:val="22"/>
          <w:szCs w:val="22"/>
        </w:rPr>
        <w:t>equorum</w:t>
      </w:r>
      <w:r w:rsidRPr="00DE609C">
        <w:rPr>
          <w:rFonts w:ascii="Palatino Linotype" w:hAnsi="Palatino Linotype"/>
          <w:sz w:val="22"/>
          <w:szCs w:val="22"/>
        </w:rPr>
        <w:t xml:space="preserve"> qui sunt totaliter albi absque macula; et sunt bene .</w:t>
      </w:r>
      <w:r w:rsidRPr="00DE609C">
        <w:rPr>
          <w:rFonts w:ascii="Palatino Linotype" w:hAnsi="Palatino Linotype"/>
          <w:smallCaps/>
          <w:sz w:val="22"/>
          <w:szCs w:val="22"/>
        </w:rPr>
        <w:t>X</w:t>
      </w:r>
      <w:r w:rsidRPr="00DE609C">
        <w:rPr>
          <w:rFonts w:ascii="Palatino Linotype" w:hAnsi="Palatino Linotype"/>
          <w:sz w:val="22"/>
          <w:szCs w:val="22"/>
          <w:vertAlign w:val="superscript"/>
        </w:rPr>
        <w:t>m</w:t>
      </w:r>
      <w:r w:rsidRPr="00DE609C">
        <w:rPr>
          <w:rFonts w:ascii="Palatino Linotype" w:hAnsi="Palatino Linotype"/>
          <w:sz w:val="22"/>
          <w:szCs w:val="22"/>
        </w:rPr>
        <w:t xml:space="preserve">. Ex lacte vero </w:t>
      </w:r>
      <w:r w:rsidRPr="00B01A77">
        <w:rPr>
          <w:rFonts w:ascii="Palatino Linotype" w:hAnsi="Palatino Linotype"/>
          <w:smallCaps/>
          <w:sz w:val="22"/>
          <w:szCs w:val="22"/>
        </w:rPr>
        <w:t>equarum</w:t>
      </w:r>
      <w:r w:rsidRPr="00DE609C">
        <w:rPr>
          <w:rFonts w:ascii="Palatino Linotype" w:hAnsi="Palatino Linotype"/>
          <w:sz w:val="22"/>
          <w:szCs w:val="22"/>
        </w:rPr>
        <w:t xml:space="preserve"> huius armenti nemo est ausus bibere, nisi fuerit ex imperiali progenie. Quidam tamen, dicti </w:t>
      </w:r>
      <w:r w:rsidRPr="00FE5BE2">
        <w:rPr>
          <w:rFonts w:ascii="Palatino Linotype" w:hAnsi="Palatino Linotype"/>
          <w:i/>
          <w:sz w:val="22"/>
          <w:szCs w:val="22"/>
        </w:rPr>
        <w:t>Oriat</w:t>
      </w:r>
      <w:r w:rsidRPr="00DE609C">
        <w:rPr>
          <w:rFonts w:ascii="Palatino Linotype" w:hAnsi="Palatino Linotype"/>
          <w:sz w:val="22"/>
          <w:szCs w:val="22"/>
        </w:rPr>
        <w:t xml:space="preserve">, bibere possunt: quandoquidem concessum est in meritum cuiusdam victorie quam fecerunt. </w:t>
      </w:r>
      <w:r w:rsidRPr="00FE5BE2">
        <w:rPr>
          <w:rFonts w:ascii="Palatino Linotype" w:hAnsi="Palatino Linotype"/>
          <w:b/>
          <w:sz w:val="22"/>
          <w:szCs w:val="22"/>
          <w:lang w:val="fr-FR"/>
        </w:rPr>
        <w:t>[11]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Et dicunt astronomi et incantatores quod de tali lacte debeat expandi omni anno .XXVIII. die augusti per aerem et per terram, ad hoc ut spiritus ex hoc bibant lacte; et dicunt quod ex hoc eorum </w:t>
      </w:r>
      <w:r w:rsidRPr="00FE5BE2">
        <w:rPr>
          <w:rFonts w:ascii="Palatino Linotype" w:hAnsi="Palatino Linotype"/>
          <w:smallCaps/>
          <w:sz w:val="22"/>
          <w:szCs w:val="22"/>
          <w:lang w:val="fr-FR"/>
        </w:rPr>
        <w:t>ydola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conservant personas suas, et bestias et bladum. </w:t>
      </w:r>
      <w:r w:rsidRPr="00FE5BE2">
        <w:rPr>
          <w:rFonts w:ascii="Palatino Linotype" w:hAnsi="Palatino Linotype"/>
          <w:b/>
          <w:sz w:val="22"/>
          <w:szCs w:val="22"/>
          <w:lang w:val="fr-FR"/>
        </w:rPr>
        <w:t xml:space="preserve">[12] 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Et hec est causa quare </w:t>
      </w:r>
      <w:r w:rsidRPr="00FE5BE2">
        <w:rPr>
          <w:rFonts w:ascii="Palatino Linotype" w:hAnsi="Palatino Linotype"/>
          <w:i/>
          <w:sz w:val="22"/>
          <w:szCs w:val="22"/>
          <w:lang w:val="fr-FR"/>
        </w:rPr>
        <w:t>Magnus Canis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recedit de viridario supradicto die de mense augusti.</w:t>
      </w:r>
    </w:p>
    <w:sectPr w:rsidR="0011581F" w:rsidSect="00FE5BE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E5BE2"/>
    <w:rsid w:val="0011581F"/>
    <w:rsid w:val="001F3399"/>
    <w:rsid w:val="00601B7E"/>
    <w:rsid w:val="00B01A77"/>
    <w:rsid w:val="00FE5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33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FE5BE2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FE5BE2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2020-03-29T07:09:00Z</dcterms:created>
  <dcterms:modified xsi:type="dcterms:W3CDTF">2020-03-29T07:09:00Z</dcterms:modified>
</cp:coreProperties>
</file>