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BBF" w:rsidRPr="00371BBF" w:rsidRDefault="00371BBF" w:rsidP="00D305B4">
      <w:pPr>
        <w:widowControl w:val="0"/>
        <w:spacing w:after="0" w:line="240" w:lineRule="auto"/>
        <w:jc w:val="both"/>
        <w:rPr>
          <w:rFonts w:ascii="Palatino Linotype" w:hAnsi="Palatino Linotype"/>
          <w:b/>
          <w:iCs/>
          <w:u w:val="single"/>
        </w:rPr>
      </w:pPr>
      <w:r w:rsidRPr="00371BBF">
        <w:rPr>
          <w:rFonts w:ascii="Palatino Linotype" w:hAnsi="Palatino Linotype"/>
          <w:b/>
          <w:iCs/>
          <w:u w:val="single"/>
        </w:rPr>
        <w:t>R</w:t>
      </w:r>
      <w:r w:rsidR="00D305B4">
        <w:rPr>
          <w:rFonts w:ascii="Palatino Linotype" w:hAnsi="Palatino Linotype"/>
          <w:b/>
          <w:iCs/>
          <w:u w:val="single"/>
        </w:rPr>
        <w:t>, II</w:t>
      </w:r>
      <w:r w:rsidRPr="00371BBF">
        <w:rPr>
          <w:rFonts w:ascii="Palatino Linotype" w:hAnsi="Palatino Linotype"/>
          <w:b/>
          <w:iCs/>
          <w:u w:val="single"/>
        </w:rPr>
        <w:t xml:space="preserve"> 1</w:t>
      </w:r>
    </w:p>
    <w:p w:rsidR="00371BBF" w:rsidRPr="006B3E78" w:rsidRDefault="00371BBF" w:rsidP="00D305B4">
      <w:pPr>
        <w:widowControl w:val="0"/>
        <w:spacing w:after="0" w:line="240" w:lineRule="auto"/>
        <w:jc w:val="both"/>
        <w:rPr>
          <w:rFonts w:ascii="Palatino Linotype" w:hAnsi="Palatino Linotype"/>
          <w:iCs/>
        </w:rPr>
      </w:pPr>
      <w:r w:rsidRPr="006B3E78">
        <w:rPr>
          <w:rFonts w:ascii="Palatino Linotype" w:hAnsi="Palatino Linotype"/>
          <w:iCs/>
        </w:rPr>
        <w:t xml:space="preserve">Delli maravigliosi fatti di </w:t>
      </w:r>
      <w:r w:rsidRPr="00371BBF">
        <w:rPr>
          <w:rFonts w:ascii="Palatino Linotype" w:hAnsi="Palatino Linotype"/>
          <w:i/>
          <w:iCs/>
        </w:rPr>
        <w:t>Cublai Can</w:t>
      </w:r>
      <w:r w:rsidRPr="006B3E78">
        <w:rPr>
          <w:rFonts w:ascii="Palatino Linotype" w:hAnsi="Palatino Linotype"/>
          <w:iCs/>
        </w:rPr>
        <w:t xml:space="preserve">, che al presente regna, et della battaglia ch’egli hebbe con </w:t>
      </w:r>
      <w:r w:rsidRPr="00371BBF">
        <w:rPr>
          <w:rFonts w:ascii="Palatino Linotype" w:hAnsi="Palatino Linotype"/>
          <w:i/>
          <w:iCs/>
        </w:rPr>
        <w:t>Naiam</w:t>
      </w:r>
      <w:r w:rsidRPr="006B3E78">
        <w:rPr>
          <w:rFonts w:ascii="Palatino Linotype" w:hAnsi="Palatino Linotype"/>
          <w:iCs/>
        </w:rPr>
        <w:t xml:space="preserve"> suo barba, et come vinse. Cap. 1.</w:t>
      </w:r>
    </w:p>
    <w:p w:rsidR="00371BBF" w:rsidRPr="006B3E78" w:rsidRDefault="00371BBF" w:rsidP="00D305B4">
      <w:pPr>
        <w:spacing w:after="0" w:line="240" w:lineRule="auto"/>
        <w:jc w:val="both"/>
        <w:rPr>
          <w:rFonts w:ascii="Palatino Linotype" w:hAnsi="Palatino Linotype"/>
          <w:iCs/>
        </w:rPr>
      </w:pPr>
    </w:p>
    <w:p w:rsidR="006B5EAE" w:rsidRPr="00D02089" w:rsidRDefault="00371BBF" w:rsidP="00D305B4">
      <w:pPr>
        <w:spacing w:after="0" w:line="240" w:lineRule="auto"/>
        <w:jc w:val="both"/>
      </w:pPr>
      <w:r w:rsidRPr="00371BBF">
        <w:rPr>
          <w:rFonts w:ascii="Palatino Linotype" w:hAnsi="Palatino Linotype"/>
          <w:b/>
        </w:rPr>
        <w:t>[22]</w:t>
      </w:r>
      <w:r w:rsidRPr="006B3E78">
        <w:rPr>
          <w:rFonts w:ascii="Palatino Linotype" w:hAnsi="Palatino Linotype"/>
        </w:rPr>
        <w:t xml:space="preserve"> Pur alla fine, vedendosi </w:t>
      </w:r>
      <w:r w:rsidRPr="00371BBF">
        <w:rPr>
          <w:rFonts w:ascii="Palatino Linotype" w:hAnsi="Palatino Linotype"/>
          <w:i/>
        </w:rPr>
        <w:t>Naiam</w:t>
      </w:r>
      <w:r w:rsidRPr="006B3E78">
        <w:rPr>
          <w:rFonts w:ascii="Palatino Linotype" w:hAnsi="Palatino Linotype"/>
        </w:rPr>
        <w:t xml:space="preserve"> circondato dal’essercito nemico, si misse in fuga, ma subito fu preso et condotto alla presentia di </w:t>
      </w:r>
      <w:r w:rsidRPr="00371BBF">
        <w:rPr>
          <w:rFonts w:ascii="Palatino Linotype" w:hAnsi="Palatino Linotype"/>
          <w:i/>
        </w:rPr>
        <w:t>Cublai</w:t>
      </w:r>
      <w:r w:rsidRPr="006B3E78">
        <w:rPr>
          <w:rFonts w:ascii="Palatino Linotype" w:hAnsi="Palatino Linotype"/>
        </w:rPr>
        <w:t xml:space="preserve">, qual ordinò che egli fosse fatto morire cucito fra due </w:t>
      </w:r>
      <w:r w:rsidRPr="00D305B4">
        <w:rPr>
          <w:rFonts w:ascii="Palatino Linotype" w:hAnsi="Palatino Linotype"/>
          <w:smallCaps/>
        </w:rPr>
        <w:t>tapeti</w:t>
      </w:r>
      <w:r w:rsidRPr="006B3E78">
        <w:rPr>
          <w:rFonts w:ascii="Palatino Linotype" w:hAnsi="Palatino Linotype"/>
        </w:rPr>
        <w:t xml:space="preserve">, che fossino tanto alzati su et giú che ’l spirito gli uscisse del corpo: et la causa di tal sorte di morte fu accioché il sol et l’aria non vedesse sparger il sangue imperiale. </w:t>
      </w:r>
      <w:r w:rsidRPr="00371BBF">
        <w:rPr>
          <w:rFonts w:ascii="Palatino Linotype" w:hAnsi="Palatino Linotype"/>
          <w:b/>
        </w:rPr>
        <w:t>[23]</w:t>
      </w:r>
      <w:r w:rsidRPr="006B3E78">
        <w:rPr>
          <w:rFonts w:ascii="Palatino Linotype" w:hAnsi="Palatino Linotype"/>
        </w:rPr>
        <w:t xml:space="preserve"> Le genti di </w:t>
      </w:r>
      <w:r w:rsidRPr="00371BBF">
        <w:rPr>
          <w:rFonts w:ascii="Palatino Linotype" w:hAnsi="Palatino Linotype"/>
          <w:i/>
        </w:rPr>
        <w:t>Naiam</w:t>
      </w:r>
      <w:r w:rsidRPr="006B3E78">
        <w:rPr>
          <w:rFonts w:ascii="Palatino Linotype" w:hAnsi="Palatino Linotype"/>
        </w:rPr>
        <w:t xml:space="preserve"> che restorono vive vennero a dar obedienza et giurar fedeltà a </w:t>
      </w:r>
      <w:r w:rsidRPr="00371BBF">
        <w:rPr>
          <w:rFonts w:ascii="Palatino Linotype" w:hAnsi="Palatino Linotype"/>
          <w:i/>
        </w:rPr>
        <w:t>Cublai</w:t>
      </w:r>
      <w:r w:rsidRPr="006B3E78">
        <w:rPr>
          <w:rFonts w:ascii="Palatino Linotype" w:hAnsi="Palatino Linotype"/>
        </w:rPr>
        <w:t xml:space="preserve">, che furono di quatro nobil provincie, cioè </w:t>
      </w:r>
      <w:r w:rsidRPr="00371BBF">
        <w:rPr>
          <w:rFonts w:ascii="Palatino Linotype" w:hAnsi="Palatino Linotype"/>
          <w:i/>
          <w:u w:val="single"/>
        </w:rPr>
        <w:t>Ciorza</w:t>
      </w:r>
      <w:r w:rsidRPr="006B3E78">
        <w:rPr>
          <w:rFonts w:ascii="Palatino Linotype" w:hAnsi="Palatino Linotype"/>
        </w:rPr>
        <w:t xml:space="preserve">, </w:t>
      </w:r>
      <w:r w:rsidRPr="00371BBF">
        <w:rPr>
          <w:rFonts w:ascii="Palatino Linotype" w:hAnsi="Palatino Linotype"/>
          <w:i/>
          <w:u w:val="single"/>
        </w:rPr>
        <w:t>Carli</w:t>
      </w:r>
      <w:r w:rsidRPr="006B3E78">
        <w:rPr>
          <w:rFonts w:ascii="Palatino Linotype" w:hAnsi="Palatino Linotype"/>
        </w:rPr>
        <w:t xml:space="preserve">, </w:t>
      </w:r>
      <w:r w:rsidRPr="00371BBF">
        <w:rPr>
          <w:rFonts w:ascii="Palatino Linotype" w:hAnsi="Palatino Linotype"/>
          <w:i/>
          <w:u w:val="single"/>
        </w:rPr>
        <w:t>Barscol</w:t>
      </w:r>
      <w:r w:rsidRPr="006B3E78">
        <w:rPr>
          <w:rFonts w:ascii="Palatino Linotype" w:hAnsi="Palatino Linotype"/>
        </w:rPr>
        <w:t xml:space="preserve"> et </w:t>
      </w:r>
      <w:r w:rsidRPr="00371BBF">
        <w:rPr>
          <w:rFonts w:ascii="Palatino Linotype" w:hAnsi="Palatino Linotype"/>
          <w:i/>
          <w:u w:val="single"/>
        </w:rPr>
        <w:t>Sitingui</w:t>
      </w:r>
      <w:r w:rsidRPr="006B3E78">
        <w:rPr>
          <w:rFonts w:ascii="Palatino Linotype" w:hAnsi="Palatino Linotype"/>
        </w:rPr>
        <w:t xml:space="preserve">. </w:t>
      </w:r>
      <w:r w:rsidRPr="00371BBF">
        <w:rPr>
          <w:rFonts w:ascii="Palatino Linotype" w:hAnsi="Palatino Linotype"/>
          <w:b/>
        </w:rPr>
        <w:t>[24]</w:t>
      </w:r>
      <w:r w:rsidRPr="006B3E78">
        <w:rPr>
          <w:rFonts w:ascii="Palatino Linotype" w:hAnsi="Palatino Linotype"/>
        </w:rPr>
        <w:t xml:space="preserve"> </w:t>
      </w:r>
      <w:r w:rsidRPr="00371BBF">
        <w:rPr>
          <w:rFonts w:ascii="Palatino Linotype" w:hAnsi="Palatino Linotype"/>
          <w:i/>
        </w:rPr>
        <w:t>Naiam</w:t>
      </w:r>
      <w:r w:rsidRPr="006B3E78">
        <w:rPr>
          <w:rFonts w:ascii="Palatino Linotype" w:hAnsi="Palatino Linotype"/>
        </w:rPr>
        <w:t xml:space="preserve">, occultamente havendosi fatto battizar, non volle però mai far l’opere di christiano, ma in questa battaglia gli parve di voler portar il segno della croce sopra le sue bandiere, et havea nel suo essercito infiniti </w:t>
      </w:r>
      <w:r w:rsidRPr="00371BBF">
        <w:rPr>
          <w:rFonts w:ascii="Palatino Linotype" w:hAnsi="Palatino Linotype"/>
          <w:i/>
        </w:rPr>
        <w:t>christiani</w:t>
      </w:r>
      <w:r w:rsidRPr="006B3E78">
        <w:rPr>
          <w:rFonts w:ascii="Palatino Linotype" w:hAnsi="Palatino Linotype"/>
        </w:rPr>
        <w:t xml:space="preserve">, li quali tutti furono morti. </w:t>
      </w:r>
      <w:r w:rsidRPr="00371BBF">
        <w:rPr>
          <w:rFonts w:ascii="Palatino Linotype" w:hAnsi="Palatino Linotype"/>
          <w:b/>
        </w:rPr>
        <w:t>[25]</w:t>
      </w:r>
      <w:r w:rsidRPr="006B3E78">
        <w:rPr>
          <w:rFonts w:ascii="Palatino Linotype" w:hAnsi="Palatino Linotype"/>
        </w:rPr>
        <w:t xml:space="preserve"> Et vedendo dapoi li </w:t>
      </w:r>
      <w:r w:rsidRPr="00371BBF">
        <w:rPr>
          <w:rFonts w:ascii="Palatino Linotype" w:hAnsi="Palatino Linotype"/>
          <w:i/>
        </w:rPr>
        <w:t>Giudei</w:t>
      </w:r>
      <w:r w:rsidRPr="006B3E78">
        <w:rPr>
          <w:rFonts w:ascii="Palatino Linotype" w:hAnsi="Palatino Linotype"/>
        </w:rPr>
        <w:t xml:space="preserve"> et </w:t>
      </w:r>
      <w:r w:rsidRPr="00371BBF">
        <w:rPr>
          <w:rFonts w:ascii="Palatino Linotype" w:hAnsi="Palatino Linotype"/>
          <w:i/>
        </w:rPr>
        <w:t>Saraceni</w:t>
      </w:r>
      <w:r w:rsidRPr="006B3E78">
        <w:rPr>
          <w:rFonts w:ascii="Palatino Linotype" w:hAnsi="Palatino Linotype"/>
        </w:rPr>
        <w:t xml:space="preserve"> che le bandiere della croce erano state vinte, si facevano beffe de’ </w:t>
      </w:r>
      <w:r w:rsidRPr="00371BBF">
        <w:rPr>
          <w:rFonts w:ascii="Palatino Linotype" w:hAnsi="Palatino Linotype"/>
          <w:i/>
        </w:rPr>
        <w:t>christiani</w:t>
      </w:r>
      <w:r w:rsidRPr="006B3E78">
        <w:rPr>
          <w:rFonts w:ascii="Palatino Linotype" w:hAnsi="Palatino Linotype"/>
        </w:rPr>
        <w:t xml:space="preserve">, dicendoli: «Vedete come le vostre bandiere et quelli che le hanno seguite sono stati trattati». </w:t>
      </w:r>
      <w:r w:rsidRPr="00371BBF">
        <w:rPr>
          <w:rFonts w:ascii="Palatino Linotype" w:hAnsi="Palatino Linotype"/>
          <w:b/>
        </w:rPr>
        <w:t xml:space="preserve">[26] </w:t>
      </w:r>
      <w:r w:rsidRPr="006B3E78">
        <w:rPr>
          <w:rFonts w:ascii="Palatino Linotype" w:hAnsi="Palatino Linotype"/>
        </w:rPr>
        <w:t xml:space="preserve">Et per questa derisione furono astretti i </w:t>
      </w:r>
      <w:r w:rsidRPr="00371BBF">
        <w:rPr>
          <w:rFonts w:ascii="Palatino Linotype" w:hAnsi="Palatino Linotype"/>
          <w:i/>
        </w:rPr>
        <w:t>christiani</w:t>
      </w:r>
      <w:r w:rsidRPr="006B3E78">
        <w:rPr>
          <w:rFonts w:ascii="Palatino Linotype" w:hAnsi="Palatino Linotype"/>
        </w:rPr>
        <w:t xml:space="preserve"> di farlo intender al </w:t>
      </w:r>
      <w:r w:rsidRPr="00371BBF">
        <w:rPr>
          <w:rFonts w:ascii="Palatino Linotype" w:hAnsi="Palatino Linotype"/>
          <w:i/>
        </w:rPr>
        <w:t>Gran Cane</w:t>
      </w:r>
      <w:r w:rsidRPr="006B3E78">
        <w:rPr>
          <w:rFonts w:ascii="Palatino Linotype" w:hAnsi="Palatino Linotype"/>
        </w:rPr>
        <w:t xml:space="preserve">, qual, chiamati a sé li </w:t>
      </w:r>
      <w:r w:rsidRPr="00371BBF">
        <w:rPr>
          <w:rFonts w:ascii="Palatino Linotype" w:hAnsi="Palatino Linotype"/>
          <w:i/>
        </w:rPr>
        <w:t>Giudei</w:t>
      </w:r>
      <w:r w:rsidRPr="006B3E78">
        <w:rPr>
          <w:rFonts w:ascii="Palatino Linotype" w:hAnsi="Palatino Linotype"/>
        </w:rPr>
        <w:t xml:space="preserve"> et li </w:t>
      </w:r>
      <w:r w:rsidRPr="00371BBF">
        <w:rPr>
          <w:rFonts w:ascii="Palatino Linotype" w:hAnsi="Palatino Linotype"/>
          <w:i/>
        </w:rPr>
        <w:t>Saraceni</w:t>
      </w:r>
      <w:r w:rsidRPr="006B3E78">
        <w:rPr>
          <w:rFonts w:ascii="Palatino Linotype" w:hAnsi="Palatino Linotype"/>
        </w:rPr>
        <w:t xml:space="preserve">, gli riprese aspramente dicendoli: «Se la croce di Christo non ha giovato a </w:t>
      </w:r>
      <w:r w:rsidRPr="00371BBF">
        <w:rPr>
          <w:rFonts w:ascii="Palatino Linotype" w:hAnsi="Palatino Linotype"/>
          <w:i/>
        </w:rPr>
        <w:t>Naiam</w:t>
      </w:r>
      <w:r w:rsidRPr="006B3E78">
        <w:rPr>
          <w:rFonts w:ascii="Palatino Linotype" w:hAnsi="Palatino Linotype"/>
        </w:rPr>
        <w:t xml:space="preserve">, ragionevolmente et giustamente ha fatto, perché lui era perfido et ribello al suo signor, et la croce non ha voluto aiutar simil huomini tristi et malvagi: et però guardative di mai piú haver ardimento di dire che il Dio de’ </w:t>
      </w:r>
      <w:r w:rsidRPr="00371BBF">
        <w:rPr>
          <w:rFonts w:ascii="Palatino Linotype" w:hAnsi="Palatino Linotype"/>
          <w:i/>
        </w:rPr>
        <w:t>christiani</w:t>
      </w:r>
      <w:r w:rsidRPr="006B3E78">
        <w:rPr>
          <w:rFonts w:ascii="Palatino Linotype" w:hAnsi="Palatino Linotype"/>
        </w:rPr>
        <w:t xml:space="preserve"> sia iniusto, perché quello è somma bontà et somma giustitia».</w:t>
      </w:r>
    </w:p>
    <w:sectPr w:rsidR="006B5EAE" w:rsidRPr="00D02089" w:rsidSect="0051564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51564E"/>
    <w:rsid w:val="0004683E"/>
    <w:rsid w:val="00371BBF"/>
    <w:rsid w:val="00433880"/>
    <w:rsid w:val="0051564E"/>
    <w:rsid w:val="006B5EAE"/>
    <w:rsid w:val="00A64EFD"/>
    <w:rsid w:val="00D02089"/>
    <w:rsid w:val="00D305B4"/>
    <w:rsid w:val="00E2570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4EF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2020-03-29T14:41:00Z</dcterms:created>
  <dcterms:modified xsi:type="dcterms:W3CDTF">2020-03-29T14:41:00Z</dcterms:modified>
</cp:coreProperties>
</file>