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0AD" w:rsidRPr="00AC5DE6" w:rsidRDefault="00AC5DE6" w:rsidP="004E5DFF">
      <w:pPr>
        <w:pStyle w:val="Titolo5"/>
        <w:spacing w:line="240" w:lineRule="auto"/>
        <w:rPr>
          <w:rFonts w:ascii="Palatino Linotype" w:hAnsi="Palatino Linotype"/>
          <w:b/>
          <w:i w:val="0"/>
          <w:strike w:val="0"/>
          <w:sz w:val="22"/>
          <w:szCs w:val="22"/>
          <w:u w:val="single"/>
        </w:rPr>
      </w:pPr>
      <w:r w:rsidRPr="00AC5DE6">
        <w:rPr>
          <w:rFonts w:ascii="Palatino Linotype" w:hAnsi="Palatino Linotype"/>
          <w:b/>
          <w:i w:val="0"/>
          <w:strike w:val="0"/>
          <w:sz w:val="22"/>
          <w:szCs w:val="22"/>
          <w:u w:val="single"/>
        </w:rPr>
        <w:t xml:space="preserve">L, </w:t>
      </w:r>
      <w:r w:rsidR="004220AD" w:rsidRPr="00AC5DE6">
        <w:rPr>
          <w:rFonts w:ascii="Palatino Linotype" w:hAnsi="Palatino Linotype"/>
          <w:b/>
          <w:i w:val="0"/>
          <w:strike w:val="0"/>
          <w:sz w:val="22"/>
          <w:szCs w:val="22"/>
          <w:u w:val="single"/>
        </w:rPr>
        <w:t>68</w:t>
      </w:r>
    </w:p>
    <w:p w:rsidR="004220AD" w:rsidRPr="00DE609C" w:rsidRDefault="004220AD" w:rsidP="004E5DFF">
      <w:pPr>
        <w:pStyle w:val="Titolo5"/>
        <w:spacing w:line="240" w:lineRule="auto"/>
        <w:rPr>
          <w:rFonts w:ascii="Palatino Linotype" w:hAnsi="Palatino Linotype"/>
          <w:i w:val="0"/>
          <w:sz w:val="22"/>
          <w:szCs w:val="22"/>
        </w:rPr>
      </w:pPr>
      <w:r w:rsidRPr="00DE609C">
        <w:rPr>
          <w:rFonts w:ascii="Palatino Linotype" w:hAnsi="Palatino Linotype"/>
          <w:i w:val="0"/>
          <w:strike w:val="0"/>
          <w:sz w:val="22"/>
          <w:szCs w:val="22"/>
        </w:rPr>
        <w:t xml:space="preserve">De quodam nobili pallacio </w:t>
      </w:r>
      <w:r w:rsidRPr="00AC5DE6">
        <w:rPr>
          <w:rFonts w:ascii="Palatino Linotype" w:hAnsi="Palatino Linotype"/>
          <w:strike w:val="0"/>
          <w:sz w:val="22"/>
          <w:szCs w:val="22"/>
        </w:rPr>
        <w:t>Magni Can‹is›.</w:t>
      </w:r>
    </w:p>
    <w:p w:rsidR="004220AD" w:rsidRPr="00DE609C" w:rsidRDefault="004220AD" w:rsidP="004E5DFF">
      <w:pPr>
        <w:spacing w:after="0" w:line="240" w:lineRule="auto"/>
        <w:jc w:val="both"/>
        <w:rPr>
          <w:rFonts w:ascii="Palatino Linotype" w:hAnsi="Palatino Linotype"/>
        </w:rPr>
      </w:pPr>
    </w:p>
    <w:p w:rsidR="00515FBA" w:rsidRDefault="004220AD" w:rsidP="004E5DFF">
      <w:pPr>
        <w:spacing w:after="0" w:line="240" w:lineRule="auto"/>
        <w:jc w:val="both"/>
      </w:pPr>
      <w:r w:rsidRPr="00AC5DE6">
        <w:rPr>
          <w:rFonts w:ascii="Palatino Linotype" w:hAnsi="Palatino Linotype"/>
          <w:b/>
        </w:rPr>
        <w:t xml:space="preserve">[1] </w:t>
      </w:r>
      <w:r w:rsidRPr="00DE609C">
        <w:rPr>
          <w:rFonts w:ascii="Palatino Linotype" w:hAnsi="Palatino Linotype"/>
        </w:rPr>
        <w:t xml:space="preserve">Tribus mensibus anni – scilicet decembri, ianuario et februario, manet </w:t>
      </w:r>
      <w:r w:rsidRPr="00AC5DE6">
        <w:rPr>
          <w:rFonts w:ascii="Palatino Linotype" w:hAnsi="Palatino Linotype"/>
          <w:i/>
        </w:rPr>
        <w:t>Magnus Canis</w:t>
      </w:r>
      <w:r w:rsidRPr="00DE609C">
        <w:rPr>
          <w:rFonts w:ascii="Palatino Linotype" w:hAnsi="Palatino Linotype"/>
        </w:rPr>
        <w:t xml:space="preserve"> in principaliori civitate de </w:t>
      </w:r>
      <w:r w:rsidRPr="00AC5DE6">
        <w:rPr>
          <w:rFonts w:ascii="Palatino Linotype" w:hAnsi="Palatino Linotype"/>
          <w:i/>
          <w:u w:val="single"/>
        </w:rPr>
        <w:t>Cathay</w:t>
      </w:r>
      <w:r w:rsidRPr="00DE609C">
        <w:rPr>
          <w:rFonts w:ascii="Palatino Linotype" w:hAnsi="Palatino Linotype"/>
        </w:rPr>
        <w:t xml:space="preserve">, que dicitur </w:t>
      </w:r>
      <w:r w:rsidRPr="004E5DFF">
        <w:rPr>
          <w:rFonts w:ascii="Palatino Linotype" w:hAnsi="Palatino Linotype"/>
          <w:i/>
          <w:u w:val="single"/>
        </w:rPr>
        <w:t>Cambaluch</w:t>
      </w:r>
      <w:r w:rsidRPr="00DE609C">
        <w:rPr>
          <w:rFonts w:ascii="Palatino Linotype" w:hAnsi="Palatino Linotype"/>
        </w:rPr>
        <w:t xml:space="preserve">, in qua suum maximum habet palatium. </w:t>
      </w:r>
      <w:r w:rsidRPr="00AC5DE6">
        <w:rPr>
          <w:rFonts w:ascii="Palatino Linotype" w:hAnsi="Palatino Linotype"/>
          <w:b/>
        </w:rPr>
        <w:t xml:space="preserve">[2] </w:t>
      </w:r>
      <w:r w:rsidRPr="00DE609C">
        <w:rPr>
          <w:rFonts w:ascii="Palatino Linotype" w:hAnsi="Palatino Linotype"/>
        </w:rPr>
        <w:t xml:space="preserve">Est enim hoc pallatium tali modo formatum. Primo est murus circu‹i›ens </w:t>
      </w:r>
      <w:r w:rsidRPr="00AC5DE6">
        <w:rPr>
          <w:rFonts w:ascii="Palatino Linotype" w:hAnsi="Palatino Linotype"/>
          <w:smallCaps/>
        </w:rPr>
        <w:t>miliaria</w:t>
      </w:r>
      <w:r w:rsidRPr="00DE609C">
        <w:rPr>
          <w:rFonts w:ascii="Palatino Linotype" w:hAnsi="Palatino Linotype"/>
        </w:rPr>
        <w:t xml:space="preserve"> quatuor, quadratus directe, et est grossus multum, altitudinis </w:t>
      </w:r>
      <w:r w:rsidRPr="00AC5DE6">
        <w:rPr>
          <w:rFonts w:ascii="Palatino Linotype" w:hAnsi="Palatino Linotype"/>
          <w:smallCaps/>
        </w:rPr>
        <w:t>passuum</w:t>
      </w:r>
      <w:r w:rsidRPr="00DE609C">
        <w:rPr>
          <w:rFonts w:ascii="Palatino Linotype" w:hAnsi="Palatino Linotype"/>
        </w:rPr>
        <w:t xml:space="preserve"> .X., totus albus et per totum merlis ornatus; et in quatuor angulis sunt quatuor magna pallatia, et adhuc in medio cuiuslibet lateris muri, inter unum pallatium et aliud, est iterum pallatium unum – suntque in universo pallatia .VIII., videlicet quatuor in angulis, et quatuor inter angulum et angulum, in quibus omnibus pallaciis manent solummodo armamenta. </w:t>
      </w:r>
      <w:r w:rsidRPr="00AC5DE6">
        <w:rPr>
          <w:rFonts w:ascii="Palatino Linotype" w:hAnsi="Palatino Linotype"/>
          <w:b/>
        </w:rPr>
        <w:t>[3]</w:t>
      </w:r>
      <w:r w:rsidRPr="00DE609C">
        <w:rPr>
          <w:rFonts w:ascii="Palatino Linotype" w:hAnsi="Palatino Linotype"/>
        </w:rPr>
        <w:t xml:space="preserve"> In quadra autem meridionali huius muri sunt .5. porte, quarum que est in medio est aliis valde maior, per quam nemo transit nisi solum dominus, per alias vero relique vadunt gentes. In reliquis vero quadris |11bis| singule manent porte. </w:t>
      </w:r>
      <w:r w:rsidRPr="00AC5DE6">
        <w:rPr>
          <w:rFonts w:ascii="Palatino Linotype" w:hAnsi="Palatino Linotype"/>
          <w:b/>
        </w:rPr>
        <w:t>[4]</w:t>
      </w:r>
      <w:r w:rsidRPr="00DE609C">
        <w:rPr>
          <w:rFonts w:ascii="Palatino Linotype" w:hAnsi="Palatino Linotype"/>
        </w:rPr>
        <w:t xml:space="preserve"> Intus autem, longe aliquanto spacio ab hoc muro, est alius murus similiter formatus in quadrum totaliter sicut primus; et in ipso similiter sunt octo pallatia, in quibus eciam sunt munitiones domini. Et in quadra meridionali huius muri ‹et in aliis› sunt porte directe disposite sicut in primo; et inter hos duos muros sunt viridaria, in quibus sunt diverse bestie, scilicet cervi albi, bestie facientes muscatum, caprioli, dayni et ‹simil›ilia. </w:t>
      </w:r>
      <w:r w:rsidRPr="00AC5DE6">
        <w:rPr>
          <w:rFonts w:ascii="Palatino Linotype" w:hAnsi="Palatino Linotype"/>
          <w:b/>
        </w:rPr>
        <w:t xml:space="preserve">[5] </w:t>
      </w:r>
      <w:r w:rsidRPr="00DE609C">
        <w:rPr>
          <w:rFonts w:ascii="Palatino Linotype" w:hAnsi="Palatino Linotype"/>
        </w:rPr>
        <w:t xml:space="preserve">In medio vero horum murorum est pallatium </w:t>
      </w:r>
      <w:r w:rsidRPr="00AC5DE6">
        <w:rPr>
          <w:rFonts w:ascii="Palatino Linotype" w:hAnsi="Palatino Linotype"/>
          <w:i/>
        </w:rPr>
        <w:t>Magni Canis</w:t>
      </w:r>
      <w:r w:rsidRPr="00DE609C">
        <w:rPr>
          <w:rFonts w:ascii="Palatino Linotype" w:hAnsi="Palatino Linotype"/>
        </w:rPr>
        <w:t xml:space="preserve">, quod est maximum valde, absque tamen solario; verumptamen pavimentum eius est altius aliis locis </w:t>
      </w:r>
      <w:r w:rsidRPr="00AC5DE6">
        <w:rPr>
          <w:rFonts w:ascii="Palatino Linotype" w:hAnsi="Palatino Linotype"/>
          <w:smallCaps/>
        </w:rPr>
        <w:t>palmis .</w:t>
      </w:r>
      <w:r w:rsidRPr="00DE609C">
        <w:rPr>
          <w:rFonts w:ascii="Palatino Linotype" w:hAnsi="Palatino Linotype"/>
        </w:rPr>
        <w:t>X., et coopertura eius altissima. Et habet ‹hoc› pallatium salam maximam capacem bene .</w:t>
      </w:r>
      <w:r w:rsidRPr="00DE609C">
        <w:rPr>
          <w:rFonts w:ascii="Palatino Linotype" w:hAnsi="Palatino Linotype"/>
          <w:smallCaps/>
        </w:rPr>
        <w:t>VI</w:t>
      </w:r>
      <w:r w:rsidRPr="004E5DFF">
        <w:rPr>
          <w:rFonts w:ascii="Palatino Linotype" w:hAnsi="Palatino Linotype"/>
          <w:vertAlign w:val="superscript"/>
        </w:rPr>
        <w:t>m</w:t>
      </w:r>
      <w:r w:rsidRPr="00DE609C">
        <w:rPr>
          <w:rFonts w:ascii="Palatino Linotype" w:hAnsi="Palatino Linotype"/>
        </w:rPr>
        <w:t xml:space="preserve">. hominum in convivio, et cameras multas valde; sunt eciam omnia tam parietes quam eciam coopertura </w:t>
      </w:r>
      <w:r w:rsidRPr="004E5DFF">
        <w:rPr>
          <w:rFonts w:ascii="Palatino Linotype" w:hAnsi="Palatino Linotype"/>
          <w:smallCaps/>
        </w:rPr>
        <w:t>auro</w:t>
      </w:r>
      <w:r w:rsidRPr="00DE609C">
        <w:rPr>
          <w:rFonts w:ascii="Palatino Linotype" w:hAnsi="Palatino Linotype"/>
        </w:rPr>
        <w:t xml:space="preserve"> ornata et coloribus, ubi multe et diverse ymagines sunt protracte; est eciam coopertura non solum interius, sed eciam exterius totaliter diversis depicta coloribus, et vernice taliter illuminata quod ad modum </w:t>
      </w:r>
      <w:r w:rsidRPr="00AC5DE6">
        <w:rPr>
          <w:rFonts w:ascii="Palatino Linotype" w:hAnsi="Palatino Linotype"/>
          <w:smallCaps/>
        </w:rPr>
        <w:t>cristalli</w:t>
      </w:r>
      <w:r w:rsidRPr="00DE609C">
        <w:rPr>
          <w:rFonts w:ascii="Palatino Linotype" w:hAnsi="Palatino Linotype"/>
        </w:rPr>
        <w:t xml:space="preserve"> et longe valde resplendet. </w:t>
      </w:r>
      <w:r w:rsidRPr="00AC5DE6">
        <w:rPr>
          <w:rFonts w:ascii="Palatino Linotype" w:hAnsi="Palatino Linotype"/>
          <w:b/>
        </w:rPr>
        <w:t xml:space="preserve">[6] </w:t>
      </w:r>
      <w:r w:rsidRPr="00DE609C">
        <w:rPr>
          <w:rFonts w:ascii="Palatino Linotype" w:hAnsi="Palatino Linotype"/>
        </w:rPr>
        <w:t xml:space="preserve">A parte huius versus </w:t>
      </w:r>
      <w:r w:rsidRPr="00AC5DE6">
        <w:rPr>
          <w:rFonts w:ascii="Palatino Linotype" w:hAnsi="Palatino Linotype"/>
          <w:smallCaps/>
        </w:rPr>
        <w:t>maistrum</w:t>
      </w:r>
      <w:r w:rsidRPr="00DE609C">
        <w:rPr>
          <w:rFonts w:ascii="Palatino Linotype" w:hAnsi="Palatino Linotype"/>
        </w:rPr>
        <w:t xml:space="preserve"> est pulcer lacus, per quem transit quoddam flumen; et tam in introytu fluminis in lacum quam eciam in exitu sunt recia prohibentia pisces ex lacu egredi posse: sunt enim in ipso diverse species piscium habundanter. </w:t>
      </w:r>
      <w:r w:rsidRPr="00AC5DE6">
        <w:rPr>
          <w:rFonts w:ascii="Palatino Linotype" w:hAnsi="Palatino Linotype"/>
          <w:b/>
        </w:rPr>
        <w:t>[7]</w:t>
      </w:r>
      <w:r w:rsidRPr="00DE609C">
        <w:rPr>
          <w:rFonts w:ascii="Palatino Linotype" w:hAnsi="Palatino Linotype"/>
        </w:rPr>
        <w:t xml:space="preserve"> Et a parte </w:t>
      </w:r>
      <w:r w:rsidRPr="00AC5DE6">
        <w:rPr>
          <w:rFonts w:ascii="Palatino Linotype" w:hAnsi="Palatino Linotype"/>
          <w:smallCaps/>
        </w:rPr>
        <w:t>septemtrionis</w:t>
      </w:r>
      <w:r w:rsidRPr="00DE609C">
        <w:rPr>
          <w:rFonts w:ascii="Palatino Linotype" w:hAnsi="Palatino Linotype"/>
        </w:rPr>
        <w:t xml:space="preserve">, longe a pallacio circa unum †atalentum†, fecit </w:t>
      </w:r>
      <w:r w:rsidRPr="00AC5DE6">
        <w:rPr>
          <w:rFonts w:ascii="Palatino Linotype" w:hAnsi="Palatino Linotype"/>
          <w:i/>
        </w:rPr>
        <w:t>Magnus Canis</w:t>
      </w:r>
      <w:r w:rsidRPr="00DE609C">
        <w:rPr>
          <w:rFonts w:ascii="Palatino Linotype" w:hAnsi="Palatino Linotype"/>
        </w:rPr>
        <w:t xml:space="preserve"> fieri monticulum quemdam circuitus plus </w:t>
      </w:r>
      <w:r w:rsidRPr="00AC5DE6">
        <w:rPr>
          <w:rFonts w:ascii="Palatino Linotype" w:hAnsi="Palatino Linotype"/>
          <w:smallCaps/>
        </w:rPr>
        <w:t>miliarii</w:t>
      </w:r>
      <w:r w:rsidRPr="00DE609C">
        <w:rPr>
          <w:rFonts w:ascii="Palatino Linotype" w:hAnsi="Palatino Linotype"/>
        </w:rPr>
        <w:t xml:space="preserve"> unius et altitudinis circa </w:t>
      </w:r>
      <w:r w:rsidRPr="00AC5DE6">
        <w:rPr>
          <w:rFonts w:ascii="Palatino Linotype" w:hAnsi="Palatino Linotype"/>
          <w:smallCaps/>
        </w:rPr>
        <w:t>passuum</w:t>
      </w:r>
      <w:r w:rsidRPr="00DE609C">
        <w:rPr>
          <w:rFonts w:ascii="Palatino Linotype" w:hAnsi="Palatino Linotype"/>
        </w:rPr>
        <w:t xml:space="preserve"> .C. plenum per totum arboribus pulcherrimis de hiis videlicet que quolibet tempore existunt viridia folia semper retinendo. </w:t>
      </w:r>
      <w:r w:rsidRPr="00AC5DE6">
        <w:rPr>
          <w:rFonts w:ascii="Palatino Linotype" w:hAnsi="Palatino Linotype"/>
          <w:b/>
        </w:rPr>
        <w:t xml:space="preserve">[8] </w:t>
      </w:r>
      <w:r w:rsidRPr="00DE609C">
        <w:rPr>
          <w:rFonts w:ascii="Palatino Linotype" w:hAnsi="Palatino Linotype"/>
        </w:rPr>
        <w:t xml:space="preserve">Fecit eciam hunc montem totaliter cooperiri de rocia </w:t>
      </w:r>
      <w:r w:rsidRPr="00AC5DE6">
        <w:rPr>
          <w:rFonts w:ascii="Palatino Linotype" w:hAnsi="Palatino Linotype"/>
          <w:smallCaps/>
        </w:rPr>
        <w:t>açurri</w:t>
      </w:r>
      <w:r w:rsidRPr="00DE609C">
        <w:rPr>
          <w:rFonts w:ascii="Palatino Linotype" w:hAnsi="Palatino Linotype"/>
        </w:rPr>
        <w:t xml:space="preserve">, que est valde viridis, suntque ex hoc tam mons quam arbores per totum viridia; et in huius montis summitate est quoddam pallatium totum viride valde pulcrum. </w:t>
      </w:r>
    </w:p>
    <w:sectPr w:rsidR="00515FBA" w:rsidSect="004220AD">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08"/>
  <w:hyphenationZone w:val="283"/>
  <w:drawingGridHorizontalSpacing w:val="110"/>
  <w:displayHorizontalDrawingGridEvery w:val="2"/>
  <w:characterSpacingControl w:val="doNotCompress"/>
  <w:compat>
    <w:useFELayout/>
  </w:compat>
  <w:rsids>
    <w:rsidRoot w:val="004220AD"/>
    <w:rsid w:val="004220AD"/>
    <w:rsid w:val="004620B0"/>
    <w:rsid w:val="004E5DFF"/>
    <w:rsid w:val="00515FBA"/>
    <w:rsid w:val="00713C40"/>
    <w:rsid w:val="00AC5DE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620B0"/>
  </w:style>
  <w:style w:type="paragraph" w:styleId="Titolo5">
    <w:name w:val="heading 5"/>
    <w:basedOn w:val="Normale"/>
    <w:next w:val="Normale"/>
    <w:link w:val="Titolo5Carattere"/>
    <w:qFormat/>
    <w:rsid w:val="004220AD"/>
    <w:pPr>
      <w:keepNext/>
      <w:spacing w:after="0" w:line="300" w:lineRule="exact"/>
      <w:jc w:val="both"/>
      <w:outlineLvl w:val="4"/>
    </w:pPr>
    <w:rPr>
      <w:rFonts w:ascii="Georgia" w:eastAsia="Times New Roman" w:hAnsi="Georgia" w:cs="Times New Roman"/>
      <w:i/>
      <w:strike/>
      <w:sz w:val="24"/>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5Carattere">
    <w:name w:val="Titolo 5 Carattere"/>
    <w:basedOn w:val="Carpredefinitoparagrafo"/>
    <w:link w:val="Titolo5"/>
    <w:rsid w:val="004220AD"/>
    <w:rPr>
      <w:rFonts w:ascii="Georgia" w:eastAsia="Times New Roman" w:hAnsi="Georgia" w:cs="Times New Roman"/>
      <w:i/>
      <w:strike/>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51483-F6B2-45E7-990E-DBFE60A11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419</Words>
  <Characters>2394</Characters>
  <Application>Microsoft Office Word</Application>
  <DocSecurity>0</DocSecurity>
  <Lines>19</Lines>
  <Paragraphs>5</Paragraphs>
  <ScaleCrop>false</ScaleCrop>
  <Company/>
  <LinksUpToDate>false</LinksUpToDate>
  <CharactersWithSpaces>2808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2020-03-30T06:08:00Z</dcterms:created>
  <dcterms:modified xsi:type="dcterms:W3CDTF">2020-03-30T06:08:00Z</dcterms:modified>
</cp:coreProperties>
</file>