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Projekcija korištenja agrodronova u poljoprivredi 2026.–2035.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Godišnja projekcija znanstvene produkcije (OpenAlex) na temelju podataka 2005.–2025.; izlaz skripte drone_env_projection_10y.m (1000 bootstrap replika za jezgru, 200 za poddomene). Dopuna radnog dokumenta od 28. 8. 2026.</w:t>
      </w:r>
    </w:p>
    <w:p>
      <w:pPr>
        <w:pStyle w:val="Heading1"/>
        <w:spacing w:after="100" w:before="260"/>
      </w:pPr>
      <w:r>
        <w:t xml:space="preserve">1. Kratki odgovor</w:t>
      </w:r>
    </w:p>
    <w:p>
      <w:pPr>
        <w:spacing w:after="120"/>
      </w:pPr>
      <w:r>
        <w:rPr>
          <w:sz w:val="21"/>
          <w:szCs w:val="21"/>
        </w:rPr>
        <w:t xml:space="preserve">Ako se nastavi dinamika iz 2005.–2025., broj radova o dronovima u poljoprivredi (čisti upit) raste s </w:t>
      </w:r>
      <w:r>
        <w:rPr>
          <w:b/>
          <w:bCs/>
          <w:sz w:val="21"/>
          <w:szCs w:val="21"/>
        </w:rPr>
        <w:t xml:space="preserve">4.381 (2025.)</w:t>
      </w:r>
      <w:r>
        <w:rPr>
          <w:sz w:val="21"/>
          <w:szCs w:val="21"/>
        </w:rPr>
        <w:t xml:space="preserve"> na oko </w:t>
      </w:r>
      <w:r>
        <w:rPr>
          <w:b/>
          <w:bCs/>
          <w:sz w:val="21"/>
          <w:szCs w:val="21"/>
        </w:rPr>
        <w:t xml:space="preserve">8.168 u 2028.</w:t>
      </w:r>
      <w:r>
        <w:rPr>
          <w:sz w:val="21"/>
          <w:szCs w:val="21"/>
        </w:rPr>
        <w:t xml:space="preserve"> [90 %: 6.332–9.402], </w:t>
      </w:r>
      <w:r>
        <w:rPr>
          <w:b/>
          <w:bCs/>
          <w:sz w:val="21"/>
          <w:szCs w:val="21"/>
        </w:rPr>
        <w:t xml:space="preserve">12.906 u 2030.</w:t>
      </w:r>
      <w:r>
        <w:rPr>
          <w:sz w:val="21"/>
          <w:szCs w:val="21"/>
        </w:rPr>
        <w:t xml:space="preserve"> [8.299–15.601] i </w:t>
      </w:r>
      <w:r>
        <w:rPr>
          <w:b/>
          <w:bCs/>
          <w:sz w:val="21"/>
          <w:szCs w:val="21"/>
        </w:rPr>
        <w:t xml:space="preserve">40.074 u 2035.</w:t>
      </w:r>
      <w:r>
        <w:rPr>
          <w:sz w:val="21"/>
          <w:szCs w:val="21"/>
        </w:rPr>
        <w:t xml:space="preserve"> [13.846–55.548]. </w:t>
      </w:r>
      <w:r>
        <w:rPr>
          <w:sz w:val="21"/>
          <w:szCs w:val="21"/>
        </w:rPr>
        <w:t xml:space="preserve">Modeli se slažu do 2028./2029.; nakon toga se razilaze između zasićenja na ~21 000 radova godišnje (logistički), vrhunca 2033. (Bass) te nastavka eksponencijalnog rasta (~52 000 u 2035.). Interval za 2035. je zato širok i to je nalaz, ne slabost metode.</w:t>
      </w:r>
    </w:p>
    <w:p>
      <w:pPr>
        <w:spacing w:after="120"/>
      </w:pPr>
      <w:r>
        <w:rPr>
          <w:sz w:val="21"/>
          <w:szCs w:val="21"/>
        </w:rPr>
        <w:t xml:space="preserve">Udio te teme u poljoprivrednoj literaturi je mnogo predvidljiviji: s </w:t>
      </w:r>
      <w:r>
        <w:rPr>
          <w:b/>
          <w:bCs/>
          <w:sz w:val="21"/>
          <w:szCs w:val="21"/>
        </w:rPr>
        <w:t xml:space="preserve">8,5 na 1 000 (2025.)</w:t>
      </w:r>
      <w:r>
        <w:rPr>
          <w:sz w:val="21"/>
          <w:szCs w:val="21"/>
        </w:rPr>
        <w:t xml:space="preserve"> raste na 15,7 u 2030. [12,6–20,7] i 26,2 u 2035. [16,6–47,6]; logistički model (težina 0,91) daje plato od 13,8 na 1 000, a 2025. je tek na 62 % platoa — za razliku od ekologije (85 %), udio agrodronova ima još zamjetan prostor rasta prije zasićenja.</w:t>
      </w:r>
    </w:p>
    <w:p>
      <w:pPr>
        <w:pStyle w:val="Heading1"/>
        <w:spacing w:after="100" w:before="260"/>
      </w:pPr>
      <w:r>
        <w:t xml:space="preserve">2. Jezgra: broj radova godišnje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300"/>
        <w:gridCol w:w="1300"/>
        <w:gridCol w:w="1200"/>
        <w:gridCol w:w="1500"/>
        <w:gridCol w:w="21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Eksponencijalni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Logistički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Gompertz</w:t>
            </w:r>
          </w:p>
        </w:tc>
        <w:tc>
          <w:tcPr>
            <w:tcW w:type="dxa" w:w="12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Bass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Prosjek modela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90 % interval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5.341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4.949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5.015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4.978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5.136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4.518 – 5.644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6.875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6.038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6.259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6.082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6.480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5.413 – 7.288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8.850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7.258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7.783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7.304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8.168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6.332 – 9.402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2029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11.391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8.584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9.644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8.594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10.259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7.340 – 12.102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14.663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9.977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11.907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9.871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12.906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8.299 – 15.601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18.874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11.389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14.650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11.030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16.239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9.224 – 20.046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24.294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12.770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17.963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11.950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20.362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10.266 – 25.930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2033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31.271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14.074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21.951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12.523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25.544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11.285 – 33.400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2034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40.252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15.265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26.736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12.674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31.975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12.414 – 43.026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51.812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16.320</w:t>
            </w:r>
          </w:p>
        </w:tc>
        <w:tc>
          <w:tcPr>
            <w:tcW w:type="dxa" w:w="13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32.457</w:t>
            </w:r>
          </w:p>
        </w:tc>
        <w:tc>
          <w:tcPr>
            <w:tcW w:type="dxa" w:w="1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12.381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40.074</w:t>
            </w:r>
          </w:p>
        </w:tc>
        <w:tc>
          <w:tcPr>
            <w:tcW w:type="dxa" w:w="21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13.846 – 55.548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1. Točkaste procjene po modelu i QAICc-ponderirani prosjek (medijan) s 90 % negativno-binomnim bootstrap intervalom, 1000 replika. Težine modela: eksponencijalni 0,39, logistički 0,16, Gompertz 0,29, Bass 0,15. Označene godine = horizonti 3/5/7/10 g.</w:t>
      </w:r>
    </w:p>
    <w:p>
      <w:pPr>
        <w:spacing w:before="120"/>
        <w:jc w:val="center"/>
      </w:pPr>
      <w:r>
        <w:drawing>
          <wp:inline distT="0" distB="0" distL="0" distR="0">
            <wp:extent cx="3960495" cy="29883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29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Slika 1. Opaženi broj radova 2010.–2025. (točke), četiri modela rasta (linije), prosjek modela (kvadrati) i 90 % interval (sivo), log-skala.</w:t>
      </w:r>
    </w:p>
    <w:p>
      <w:pPr>
        <w:pStyle w:val="Heading1"/>
        <w:spacing w:after="100" w:before="260"/>
      </w:pPr>
      <w:r>
        <w:t xml:space="preserve">3. Jezgra: udio u poljoprivrednoj literaturi (na 1 000 radova)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400"/>
        <w:gridCol w:w="1600"/>
        <w:gridCol w:w="22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Eksponencijalni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Logistički</w:t>
            </w:r>
          </w:p>
        </w:tc>
        <w:tc>
          <w:tcPr>
            <w:tcW w:type="dxa" w:w="14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Gompertz</w:t>
            </w:r>
          </w:p>
        </w:tc>
        <w:tc>
          <w:tcPr>
            <w:tcW w:type="dxa" w:w="1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Prosjek modela</w:t>
            </w:r>
          </w:p>
        </w:tc>
        <w:tc>
          <w:tcPr>
            <w:tcW w:type="dxa" w:w="22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90 % interval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9,9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9,8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9,1 – 10,6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13,5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9,9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11,1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10,1 – 12,6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16,4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10,6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13,0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12,5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11,0 – 14,8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2029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19,9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11,2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14,1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11,8 – 17,4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24,2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11,7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16,6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15,7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12,6 – 20,7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2031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29,3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12,1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18,7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17,5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13,4 – 24,3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35,6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12,5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20,9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19,4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14,2 – 28,8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2033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43,2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12,8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23,2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21,5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14,9 – 34,0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2034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52,5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13,0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25,7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23,7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15,7 – 40,1</w:t>
            </w:r>
          </w:p>
        </w:tc>
      </w:tr>
      <w:tr>
        <w:tc>
          <w:tcPr>
            <w:tcW w:type="dxa" w:w="9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5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63,7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13,2</w:t>
            </w:r>
          </w:p>
        </w:tc>
        <w:tc>
          <w:tcPr>
            <w:tcW w:type="dxa" w:w="14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28,3</w:t>
            </w:r>
          </w:p>
        </w:tc>
        <w:tc>
          <w:tcPr>
            <w:tcW w:type="dxa" w:w="16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26,2</w:t>
            </w:r>
          </w:p>
        </w:tc>
        <w:tc>
          <w:tcPr>
            <w:tcW w:type="dxa" w:w="2200"/>
            <w:shd w:fill="FFF2C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16,6 – 47,6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2. Projekcija udjela (nazivnik: radovi koji sadrže poljoprivredne pojmove, isti način pretrage). Težine: logistički 0,91, Gompertz 0,09, eksponencijalni ≈ 0 (prikazan samo kao usporedba).</w:t>
      </w:r>
    </w:p>
    <w:p>
      <w:pPr>
        <w:pStyle w:val="Heading1"/>
        <w:spacing w:after="100" w:before="260"/>
      </w:pPr>
      <w:r>
        <w:t xml:space="preserve">4. Poddomene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250"/>
        <w:gridCol w:w="1250"/>
        <w:gridCol w:w="1300"/>
        <w:gridCol w:w="1300"/>
        <w:gridCol w:w="1200"/>
        <w:gridCol w:w="125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Godina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Praćenje usjeva</w:t>
            </w:r>
          </w:p>
        </w:tc>
        <w:tc>
          <w:tcPr>
            <w:tcW w:type="dxa" w:w="125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Prskanje</w:t>
            </w:r>
          </w:p>
        </w:tc>
        <w:tc>
          <w:tcPr>
            <w:tcW w:type="dxa" w:w="125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Korovi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Navodnjavanje</w:t>
            </w:r>
          </w:p>
        </w:tc>
        <w:tc>
          <w:tcPr>
            <w:tcW w:type="dxa" w:w="1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Bolesti/štetnici</w:t>
            </w:r>
          </w:p>
        </w:tc>
        <w:tc>
          <w:tcPr>
            <w:tcW w:type="dxa" w:w="12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Prinos</w:t>
            </w:r>
          </w:p>
        </w:tc>
        <w:tc>
          <w:tcPr>
            <w:tcW w:type="dxa" w:w="125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Stočarstvo</w:t>
            </w:r>
          </w:p>
        </w:tc>
      </w:tr>
      <w:tr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1.080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740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618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617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372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</w:tr>
      <w:tr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2.077 [1.284–2.652]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1.421 [1.115–1.738]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392 [289–505]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1.394 [1.126–1.646]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1.510 [1.322–1.714]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901 [797–1.006]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360 [278–474]</w:t>
            </w:r>
          </w:p>
        </w:tc>
      </w:tr>
      <w:tr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3.330 [1.495–4.738]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2.213 [1.485–2.956]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573 [337–833]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2.585 [1.979–3.165]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3.011 [2.560–3.526]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1.701 [1.458–1.977]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466 [297–729]</w:t>
            </w:r>
          </w:p>
        </w:tc>
      </w:tr>
      <w:tr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5.386 [1.671–8.534]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3.442 [1.944–5.119]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820 [362–1.389]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4.804 [3.283–6.071]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5.985 [4.892–7.246]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3.210 [2.709–3.881]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589 [282–1.123]</w:t>
            </w:r>
          </w:p>
        </w:tc>
      </w:tr>
      <w:tr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2035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11.486 [2.194–20.856]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6.815 [2.915–11.578]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1.460 [461–3.011]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12.088 [7.328–16.374]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16.814 [12.937–21.305]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8.322 [6.639–10.598]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847 [277–2.200]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3. Poddomene: opaženo 2025. i projekcija (prosjek modela [90 % interval], 200 replika). Poddomenski upiti se preklapaju. Kod navodnjavanja, bolesti/štetnika i prinosa dominira eksponencijalni model (težine 0,54–0,58), pa su intervali uski i podcjenjuju stvarnu nesigurnost dugoročnog oblika krivulje; kod praćenja usjeva dominira Gompertz (0,91).</w:t>
      </w:r>
    </w:p>
    <w:p>
      <w:pPr>
        <w:spacing w:before="120"/>
        <w:jc w:val="center"/>
      </w:pPr>
      <w:r>
        <w:drawing>
          <wp:inline distT="0" distB="0" distL="0" distR="0">
            <wp:extent cx="5940742" cy="37804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2" cy="37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Slika 2. Projekcija po poddomenama (log-skala): opaženo 2010.–2025., prosjek modela i 90 % interval do 2035.</w:t>
      </w:r>
    </w:p>
    <w:p>
      <w:pPr>
        <w:pStyle w:val="Heading1"/>
        <w:spacing w:after="100" w:before="260"/>
      </w:pPr>
      <w:r>
        <w:t xml:space="preserve">5. Kako čitati i citirati projekciju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Za rad preporučujem citirati prosjek modela s intervalom za 2028. i 2030. te raspon modela (ne prosjek) za 2035. — na 10 godina pitanje „koji oblik krivulje" dominira nad svakom statističkom nesigurnošću.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Robustan je zaključak o udjelu: plato ~13,8 na 1 000, potvrđen i backtestom (ishodište 2022.: MAPE 7,6 % za logistički, 28,5 % za eksponencijalni).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Najbrže raste podatkovno vođena agronomija (predviđanje prinosa, navodnjavanje/vodni stres, bolesti i štetnici — CAGR 40–51 % u zadnjih 10 godina); stočarstvo i korovi rastu najsporije. Prskanje raste 36 %/god. i čini UAV aktuatorom — u EU ograničeno Direktivom 2009/128/EZ, pa je europski rast pretežno senzorski.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Ograničenja: OpenAlex (širi od Scopusa), preciznost upita mijenja se kroz vrijeme (61 % ukupno, 37 % rano razdoblje), 2025. dijelom artefakt indeksiranja (bez 2025. logistički K pada s 21 000 na ~5 300), preklapanje poddomena, model nesigurnosti samo unutar četiri parametarska oblika. Sve je opisano u codebook.md i radnom dokumentu.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Reprodukcija: matlab/drone_env_projection_10y.m (MATLAB ~10 min ukupno) → projection/&lt;serija&gt;/forecast_count.csv; python/build_projection.py slaže Excel i slike.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0d459aace1ac1806c06952cec8628a7180529d.png"/><Relationship Id="rId8" Type="http://schemas.openxmlformats.org/officeDocument/2006/relationships/image" Target="media/ab843c2789424295dfab98e9212a3feeec425f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2026-08-27T21:39:54.048Z</dcterms:created>
  <dcterms:modified xsi:type="dcterms:W3CDTF">2026-08-27T21:39:54.048Z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