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1F3864"/>
          <w:sz w:val="34"/>
          <w:szCs w:val="34"/>
        </w:rPr>
        <w:t xml:space="preserve">Agrodronovi u poljoprivredi: podaci, trenutno stanje i algoritam predviđanja rasta</w:t>
      </w:r>
    </w:p>
    <w:p>
      <w:pPr>
        <w:spacing w:after="240"/>
      </w:pPr>
      <w:r>
        <w:rPr>
          <w:i/>
          <w:iCs/>
          <w:color w:val="595959"/>
          <w:sz w:val="19"/>
          <w:szCs w:val="19"/>
        </w:rPr>
        <w:t xml:space="preserve">Radni dokument za rad na MIPRO Robotics, sekcija RTA-DRONES. Verzija 1.0, 28. kolovoza 2026. Ista metodologija kao u projektu o dronovima u ekologiji (mipro_drones). Sve brojke u dokumentu izračunate su skriptom drone_env_forecast.m nad priloženim CSV-om; nijedna nije procijenjena „napamet".</w:t>
      </w:r>
    </w:p>
    <w:p>
      <w:pPr>
        <w:pStyle w:val="Heading1"/>
        <w:spacing w:after="120" w:before="280"/>
      </w:pPr>
      <w:r>
        <w:t xml:space="preserve">1. Što je napravljeno i što se od toga može koristiti u radu</w:t>
      </w:r>
    </w:p>
    <w:p>
      <w:pPr>
        <w:spacing w:after="120"/>
      </w:pPr>
      <w:r>
        <w:rPr>
          <w:sz w:val="21"/>
          <w:szCs w:val="21"/>
        </w:rPr>
        <w:t xml:space="preserve">Prikupljen je reproducibilan godišnji skup podataka o znanstvenoj produkciji koja spaja dronove (UAV/UAS/RPAS) i poljoprivredu, 2000.–2026., iz baze OpenAlex, s dokumentiranim filtrom šuma (Drosophila GAL4/UAS, trutovi, medicinski akronimi), četiri nazivnika i sedam poddomena. Nad njim je izgrađen MATLAB algoritam (bez toolboxa, radi i u Octaveu) koji opisuje trenutno stanje (stopa rasta, udio, trend, prijelomna točka) i daje predviđanje za 3, 5, 7 i 10 godina (2028., 2030., 2032., 2035.) s četiri konkurentska modela rasta, izborom modela informacijskim kriterijem, provjerom točnosti unatrag i bootstrap intervalima. Sve je neovisno replicirano u Pythonu (scipy) — procjene parametara i deviance podudaraju se do zadnje znamenke.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Glavni nalaz u jednoj rečenici: </w:t>
      </w:r>
      <w:r>
        <w:rPr>
          <w:sz w:val="21"/>
          <w:szCs w:val="21"/>
        </w:rPr>
        <w:t xml:space="preserve">apsolutna produkcija raste oko 28–30 % godišnje bez znaka zasićenja (2025.: 4 381 rad), a udio u poljoprivrednoj literaturi (8,5 na 1 000) tek je na 62 % logistički procijenjenog platoa od 13,8 na 1 000 (infleksija 2023./2024.) — poljoprivreda je ranije na krivulji prihvaćanja od ekologije (85 % platoa) i ima više prostora za rast; najbrže rastu predviđanje prinosa, navodnjavanje i detekcija bolesti, a prskanje čini UAV aktuatorom.</w:t>
      </w:r>
    </w:p>
    <w:p>
      <w:pPr>
        <w:spacing w:after="120"/>
      </w:pPr>
      <w:r>
        <w:rPr>
          <w:b/>
          <w:bCs/>
          <w:sz w:val="21"/>
          <w:szCs w:val="21"/>
        </w:rPr>
        <w:t xml:space="preserve">Za rad je izravno upotrebljivo: </w:t>
      </w:r>
      <w:r>
        <w:rPr>
          <w:sz w:val="21"/>
          <w:szCs w:val="21"/>
        </w:rPr>
        <w:t xml:space="preserve">Slika 1 (broj radova + predviđanja), Slika 2 (udio + predviđanja), Slika 3 (poddomene), Tablica I (modeli), Tablica II (predviđanja po horizontu). Sve slike su 8,8 cm, crno-bijele, 600 dpi, s EPS verzijom.</w:t>
      </w:r>
    </w:p>
    <w:p>
      <w:pPr>
        <w:pStyle w:val="Heading1"/>
        <w:spacing w:after="120" w:before="280"/>
      </w:pPr>
      <w:r>
        <w:t xml:space="preserve">2. Podaci</w:t>
      </w:r>
    </w:p>
    <w:p>
      <w:pPr>
        <w:pStyle w:val="Heading2"/>
        <w:spacing w:after="80" w:before="200"/>
      </w:pPr>
      <w:r>
        <w:t xml:space="preserve">2.1 Izvor i upiti</w:t>
      </w:r>
    </w:p>
    <w:p>
      <w:pPr>
        <w:spacing w:after="120"/>
      </w:pPr>
      <w:r>
        <w:rPr>
          <w:sz w:val="21"/>
          <w:szCs w:val="21"/>
        </w:rPr>
        <w:t xml:space="preserve">Izvor je OpenAlex (javni API), pretraga naslova i sažetka Booleovim izrazom, filtar article|review. Glavna serija je čisti upit D AND A NOT N (N uklanja Drosophila/GAL4, pčele, medicinske i institucijske homonime). Datum dohvata 28. 8. 2026. — obvezno navesti u radu jer se OpenAlex retroaktivno mijenja. Upiti su izvedeni s vašeg računala (sandbox nema pristup API-ju); potpuni izrazi i URL-predložak nalaze se u codebook.md.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300"/>
        <w:gridCol w:w="2600"/>
      </w:tblGrid>
      <w:tr>
        <w:trPr>
          <w:tblHeader/>
        </w:trPr>
        <w:tc>
          <w:tcPr>
            <w:tcW w:type="dxa" w:w="2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Serija</w:t>
            </w:r>
          </w:p>
        </w:tc>
        <w:tc>
          <w:tcPr>
            <w:tcW w:type="dxa" w:w="4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Definicija</w:t>
            </w:r>
          </w:p>
        </w:tc>
        <w:tc>
          <w:tcPr>
            <w:tcW w:type="dxa" w:w="2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Uloga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core_drone_agro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AND A NOT N (čisti upit)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brojnik, glavna serija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core_drone_agro_raw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AND A (sirovi upit)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osjetljivost; iz njega su uzorci za preciznost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strict_noenv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AND A NOT N NOT ekološki pojmovi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strogi upit (osjetljivost)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agro_only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 (poljoprivredna literatura)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nazivnik 1 (udio)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subfield1102_agronomy / field11_agbio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OpenAlex klasifikacije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nazivnici 2 i 3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all_works, drone_only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sva djela; sva dronska literatura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nazivnik 4; kontekst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sub_crop_monitoring … sub_livestock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 AND poddomenski pojmovi (7 poddomena)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struktura primjena; preklapaju se</w:t>
            </w:r>
          </w:p>
        </w:tc>
      </w:tr>
      <w:tr>
        <w:tc>
          <w:tcPr>
            <w:tcW w:type="dxa" w:w="2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HR_core, HR_all</w:t>
            </w:r>
          </w:p>
        </w:tc>
        <w:tc>
          <w:tcPr>
            <w:tcW w:type="dxa" w:w="4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isto, s barem jednim hrvatskim autorom</w:t>
            </w:r>
          </w:p>
        </w:tc>
        <w:tc>
          <w:tcPr>
            <w:tcW w:type="dxa" w:w="2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nacionalni kontekst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A. Serije u datoteci openalex_drone_agro_annual.csv. D = dronski pojmovi; A = 38 poljoprivrednih pojmova; N = filtar šuma; puni popis u codebook.md.</w:t>
      </w:r>
    </w:p>
    <w:p>
      <w:pPr>
        <w:pStyle w:val="Heading2"/>
        <w:spacing w:after="80" w:before="200"/>
      </w:pPr>
      <w:r>
        <w:t xml:space="preserve">2.2 Provjera preciznosti i filtar šuma</w:t>
      </w:r>
    </w:p>
    <w:p>
      <w:pPr>
        <w:spacing w:after="120"/>
      </w:pPr>
      <w:r>
        <w:rPr>
          <w:sz w:val="21"/>
          <w:szCs w:val="21"/>
        </w:rPr>
        <w:t xml:space="preserve">Ručna provjera 100 + 50 slučajnih zapisa sirovog upita (kodiranje A/B/C uz AI prijedlog, Excel u mapi validation) pokazala je da su „UAS“ u Drosophila genetici, trutovi i medicinski akronimi velik dio šuma, osobito u ranim godinama, pa je uveden filtar N i čisti upit postao glavna serija. Za čisti upit: P(A) = 0,61 [0,51; 0,70] u cijelom razdoblju, ali 0,37 [0,23; 0,54] u ranom razdoblju (z = 2,38, p = 0,017) — rani brojevi precjenjuju poljoprivrednu aktivnost jer prevladavaju generički UAV inženjerski radovi. Registarski podaci (FAA/AESA/EASA/HACZ) preuzeti su iz projekta o ekologiji; za poljoprivredu je dodan kontekst istočne Azije (Kina 2021.: više od 120 000 dronova za zaštitu bilja, oko 62 M ha tretirano; Japan 2016.: trećina rižinih polja).</w:t>
      </w:r>
    </w:p>
    <w:p>
      <w:pPr>
        <w:pStyle w:val="Heading2"/>
        <w:spacing w:after="80" w:before="200"/>
      </w:pPr>
      <w:r>
        <w:t xml:space="preserve">2.3 Ograničenja podataka koja moraju u rad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Skok u 2025. u svim serijama (agro_only +26 %) dijelom je artefakt indeksiranja; analiza osjetljivosti bez 2025. je u skripti.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Pojam „yield“ hvata i nepoljoprivredna značenja; uže inačice povećale bi preciznost, ali gube stvarne radove — dokumentirano u codebook.md.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Preciznost se mijenjala kroz vrijeme: apsolutni brojevi su otprilike 1,6 puta veći od strogo poljoprivredne produkcije, rani brojevi i više.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Poddomene se preklapaju i ne zbrajaju u ukupni broj.</w:t>
      </w:r>
    </w:p>
    <w:p>
      <w:pPr>
        <w:pStyle w:val="Heading1"/>
        <w:spacing w:after="120" w:before="280"/>
      </w:pPr>
      <w:r>
        <w:t xml:space="preserve">3. Trenutno stanje (2005.–2025.)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900"/>
        <w:gridCol w:w="5300"/>
      </w:tblGrid>
      <w:tr>
        <w:trPr>
          <w:tblHeader/>
        </w:trPr>
        <w:tc>
          <w:tcPr>
            <w:tcW w:type="dxa" w:w="3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Pokazatelj</w:t>
            </w:r>
          </w:p>
        </w:tc>
        <w:tc>
          <w:tcPr>
            <w:tcW w:type="dxa" w:w="53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Vrijednost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Broj radova 2005. → 2025. (čisti upit)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29 → 4 381 (ukupno 18 506 u razdoblju)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CAGR 2005.–2025. / zadnjih 10 godina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28,5 % / 30,4 %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Udio u poljoprivrednoj literaturi (na 1 000)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0,21 → 8,53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Udio u ukupnoj dronskoj literaturi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3,0 % → 17,1 %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Mann-Kendall, brojevi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 = 208, Z = 6,25, p = 4·10⁻¹⁰; Senov nagib 125 radova/god. [90 % CI 86; 171]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Mann-Kendall, udio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 = 200, Z = 6,01, p = 2·10⁻⁹; Senov nagib 0,38 na 1 000/god. [0,28; 0,47]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Prijelomna točka, brojevi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2009.: 16 %/god. prije → 32 %/god. poslije (F = 5,2; p ≈ 0,018, približno)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Prijelomna točka, udio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2009.: 5 %/god. → 26 %/god. (F = 7,3; p ≈ 0,005, približno)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Otvoreni pristup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72 % radova (13 290 od 18 506)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Zemlje (prve tri, sirovi upit)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Kina 4 421; SAD 3 239; Indija 1 857 (164 zemlje ukupno)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Časopisi (prva tri)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Remote Sensing 1 026; Computers and Electronics in Agriculture 582; Drones 368</w:t>
            </w:r>
          </w:p>
        </w:tc>
      </w:tr>
      <w:tr>
        <w:tc>
          <w:tcPr>
            <w:tcW w:type="dxa" w:w="3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Hrvatska</w:t>
            </w:r>
          </w:p>
        </w:tc>
        <w:tc>
          <w:tcPr>
            <w:tcW w:type="dxa" w:w="53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34 rada 2013.–2025. (10 u 2025.)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B. Sažetak trenutnog stanja; sve vrijednosti iz izlaza skripte i codebook.md (odjeljak 6).</w:t>
      </w:r>
    </w:p>
    <w:p>
      <w:pPr>
        <w:spacing w:after="120"/>
      </w:pPr>
      <w:r>
        <w:rPr>
          <w:sz w:val="21"/>
          <w:szCs w:val="21"/>
        </w:rPr>
        <w:t xml:space="preserve">Napomena o prijelomnoj točki: 2009. se poklapa s pojavom jeftinih višerotorskih platformi i pristupačnih multispektralnih kamera. U EU je zračno prskanje pesticida zabranjeno Direktivom 2009/128/EZ (osim odstupanja), pa aktuatorske primjene koje nose azijski rast u Europi uglavnom izostaju — europski rast je senzorski.</w:t>
      </w:r>
    </w:p>
    <w:p>
      <w:pPr>
        <w:pStyle w:val="Heading2"/>
        <w:spacing w:after="80" w:before="200"/>
      </w:pPr>
      <w:r>
        <w:t xml:space="preserve">3.1 Poddomene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1500"/>
        <w:gridCol w:w="1500"/>
        <w:gridCol w:w="2000"/>
      </w:tblGrid>
      <w:tr>
        <w:trPr>
          <w:tblHeader/>
        </w:trPr>
        <w:tc>
          <w:tcPr>
            <w:tcW w:type="dxa" w:w="42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Poddomena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2015.</w:t>
            </w:r>
          </w:p>
        </w:tc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2025.</w:t>
            </w:r>
          </w:p>
        </w:tc>
        <w:tc>
          <w:tcPr>
            <w:tcW w:type="dxa" w:w="2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CAGR 10 g.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Praćenje usjeva / fenotipizacija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1 080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38,4 %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Prskanje / aplikacija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740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35,7 %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Korovi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18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226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28,8 %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Navodnjavanje / vodni stres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618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41,7 %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Bolesti i štetnici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617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39,6 %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Predviđanje prinosa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372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51,1 %</w:t>
            </w:r>
          </w:p>
        </w:tc>
      </w:tr>
      <w:tr>
        <w:tc>
          <w:tcPr>
            <w:tcW w:type="dxa" w:w="42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Stočarstvo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</w:t>
            </w:r>
          </w:p>
        </w:tc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229</w:t>
            </w:r>
          </w:p>
        </w:tc>
        <w:tc>
          <w:tcPr>
            <w:tcW w:type="dxa" w:w="2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24,8 %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C. Broj radova po poddomeni (preklapajući upiti) i složena godišnja stopa rasta 2015.–2025.</w:t>
      </w:r>
    </w:p>
    <w:p>
      <w:pPr>
        <w:spacing w:after="120"/>
      </w:pPr>
      <w:r>
        <w:rPr>
          <w:sz w:val="21"/>
          <w:szCs w:val="21"/>
        </w:rPr>
        <w:t xml:space="preserve">Najbrže raste podatkovno vođena agronomija (prinos 51 %, navodnjavanje 42 %, bolesti 40 %), a najsporije stočarstvo i korovi. Prskanje (36 %) je aktuatorska primjena s posebnom regulativom — najjača poruka za robotičku publiku.</w:t>
      </w:r>
    </w:p>
    <w:p>
      <w:pPr>
        <w:spacing w:before="120"/>
        <w:jc w:val="center"/>
      </w:pPr>
      <w:r>
        <w:drawing>
          <wp:inline distT="0" distB="0" distL="0" distR="0">
            <wp:extent cx="3168396" cy="25203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96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Fig. 3. Annual number of OpenAlex articles combining UAV terms with seven agricultural sub-domains, 2005–2025 (log scale; queries overlap).</w:t>
      </w:r>
    </w:p>
    <w:p>
      <w:pPr>
        <w:pStyle w:val="Heading1"/>
        <w:spacing w:after="120" w:before="280"/>
      </w:pPr>
      <w:r>
        <w:t xml:space="preserve">4. Algoritam predviđanja (MATLAB)</w:t>
      </w:r>
    </w:p>
    <w:p>
      <w:pPr>
        <w:spacing w:after="120"/>
      </w:pPr>
      <w:r>
        <w:rPr>
          <w:sz w:val="21"/>
          <w:szCs w:val="21"/>
        </w:rPr>
        <w:t xml:space="preserve">Datoteke u mapi matlab/: drone_env_forecast.m (glavna skripta s blokom OPTIONS), load_annual_data.m, growth_model.m, fit_growth_model.m, mann_kendall.m, segmented_loglinear.m, backtest_models.m, nb_bootstrap.m, poisson_rnd.m, describe_params.m. Nema ovisnosti o toolboxima (koristi fminsearch, randg, betainc, gammaln iz osnovnog MATLAB-a). Testirano u GNU Octave 8.4; u MATLAB-u R2016b+ radi bez izmjena.</w:t>
      </w:r>
    </w:p>
    <w:p>
      <w:pPr>
        <w:pStyle w:val="Heading2"/>
        <w:spacing w:after="80" w:before="200"/>
      </w:pPr>
      <w:r>
        <w:t xml:space="preserve">4.1 Koraci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Ulaz i normalizacija. </w:t>
      </w:r>
      <w:r>
        <w:rPr>
          <w:sz w:val="21"/>
          <w:szCs w:val="21"/>
        </w:rPr>
        <w:t xml:space="preserve">Učitava se CSV; koriste se samo potpune godine (2005.–2025.). Modeli se prilagođavaju dvama ciljevima: (a) apsolutnom broju radova i (b) udjelu u poljoprivrednoj literaturi, gdje je nazivnik ugrađen kao offset (μ = N·g(t)), pa predviđanje udjela ne zahtijeva projekciju nazivnika.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Opis stanja. </w:t>
      </w:r>
      <w:r>
        <w:rPr>
          <w:sz w:val="21"/>
          <w:szCs w:val="21"/>
        </w:rPr>
        <w:t xml:space="preserve">CAGR, Mann-Kendallov test s korekcijom vezanih vrijednosti i Senov nagib s 90 % CI (Gilbert 1987), segmentirana log-linearna regresija s jednom prijelomnom točkom (pretraga po mreži, Chow-tip F-test; p je približan jer je točka procijenjena — u radu navesti kao takav ili potvrditi Daviesovim testom u R-u, paket segmented).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Četiri modela rasta. </w:t>
      </w:r>
      <w:r>
        <w:rPr>
          <w:sz w:val="21"/>
          <w:szCs w:val="21"/>
        </w:rPr>
        <w:t xml:space="preserve">Eksponencijalni (bez zasićenja), logistički i Gompertzov (sa zasićenjem K), Bassov difuzijski model (radovi kao „usvajanja" po godini, parametri m, p, q). Za udio se Bass ne koristi jer opisuje usvajanja po razdoblju, a ne razinu.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Kriterij prilagodbe. </w:t>
      </w:r>
      <w:r>
        <w:rPr>
          <w:sz w:val="21"/>
          <w:szCs w:val="21"/>
        </w:rPr>
        <w:t xml:space="preserve">Poissonova devijanca D = 2Σ[y ln(y/μ) − (y − μ)] minimizirana Nelder-Meadom (fminsearch) iz više početnih točaka, s log-transformacijom pozitivnih parametara. Devijanca daje jednaku težinu malim ranim i velikim kasnim godinama i omogućuje pravi log-likelihood za informacijski kriterij.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Izbor modela. </w:t>
      </w:r>
      <w:r>
        <w:rPr>
          <w:sz w:val="21"/>
          <w:szCs w:val="21"/>
        </w:rPr>
        <w:t xml:space="preserve">Brojevi su jako predisperzirani (ĉ = Pearsonov χ²/df ≈ 20), pa se koristi QAICc (kvazi-AIC s korekcijom za mali uzorak) i Akaikeove težine; predviđanje je QAICc-ponderirani prosjek modela.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Provjera unatrag. </w:t>
      </w:r>
      <w:r>
        <w:rPr>
          <w:sz w:val="21"/>
          <w:szCs w:val="21"/>
        </w:rPr>
        <w:t xml:space="preserve">Rolling-origin backtest: fit do 2018./2020./2022., predviđanje ostatka; MAPE, pristranost i RMSE na log-skali po modelu.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Nesigurnost. </w:t>
      </w:r>
      <w:r>
        <w:rPr>
          <w:sz w:val="21"/>
          <w:szCs w:val="21"/>
        </w:rPr>
        <w:t xml:space="preserve">Parametarski negativno-binomni bootstrap (gamma-Poissonova mješavina, disperzija procijenjena metodom momenata): 1000 replika, ponovni fit svakog modela i ponovno računanje težina u svakoj replici → 5. i 95. percentil predviđanja po modelu i za prosjek.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  <w:sz w:val="21"/>
          <w:szCs w:val="21"/>
        </w:rPr>
        <w:t xml:space="preserve">Analiza osjetljivosti. </w:t>
      </w:r>
      <w:r>
        <w:rPr>
          <w:sz w:val="21"/>
          <w:szCs w:val="21"/>
        </w:rPr>
        <w:t xml:space="preserve">Ponovni fit brojeva bez 2025. (artefakt indeksiranja).</w:t>
      </w:r>
    </w:p>
    <w:p>
      <w:pPr>
        <w:pStyle w:val="Heading2"/>
        <w:spacing w:after="80" w:before="200"/>
      </w:pPr>
      <w:r>
        <w:t xml:space="preserve">4.2 Pokretanje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cd matlab</w:t>
      </w:r>
    </w:p>
    <w:p>
      <w:pPr>
        <w:shd w:fill="F2F2F2" w:val="clear"/>
        <w:spacing w:after="40"/>
      </w:pPr>
      <w:r>
        <w:rPr>
          <w:rFonts w:ascii="Consolas" w:cs="Consolas" w:eastAsia="Consolas" w:hAnsi="Consolas"/>
          <w:sz w:val="17"/>
          <w:szCs w:val="17"/>
        </w:rPr>
        <w:t xml:space="preserve">drone_env_forecast          % ~1–3 min u MATLAB-u za 1000 replika; rezultati u ../results</w:t>
      </w:r>
    </w:p>
    <w:p>
      <w:pPr>
        <w:spacing w:after="120"/>
      </w:pPr>
      <w:r>
        <w:rPr>
          <w:sz w:val="21"/>
          <w:szCs w:val="21"/>
        </w:rPr>
        <w:t xml:space="preserve">U bloku OPTIONS mijenjaju se: putanja CSV-a, raspon godina, horizonti, brojnik i nazivnik (npr. numerator = 'sub_spraying' za predviđanje poddomene), popis modela, broj replika, sjeme. Izlaz: models_count.csv, models_share.csv, forecast_count.csv, forecast_share.csv, tri slike (PNG 600 dpi + EPS) i .mat s cijelom strukturom rezultata.</w:t>
      </w:r>
    </w:p>
    <w:p>
      <w:pPr>
        <w:pStyle w:val="Heading1"/>
        <w:spacing w:after="120" w:before="280"/>
      </w:pPr>
      <w:r>
        <w:t xml:space="preserve">5. Rezultati</w:t>
      </w:r>
    </w:p>
    <w:p>
      <w:pPr>
        <w:pStyle w:val="Heading2"/>
        <w:spacing w:after="80" w:before="200"/>
      </w:pPr>
      <w:r>
        <w:t xml:space="preserve">5.1 Modeli za broj radova (Tablica I u radu)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"/>
        <w:gridCol w:w="1000"/>
        <w:gridCol w:w="900"/>
        <w:gridCol w:w="800"/>
        <w:gridCol w:w="1150"/>
        <w:gridCol w:w="34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4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k</w:t>
            </w:r>
          </w:p>
        </w:tc>
        <w:tc>
          <w:tcPr>
            <w:tcW w:type="dxa" w:w="10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Devijanca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QAICc</w:t>
            </w:r>
          </w:p>
        </w:tc>
        <w:tc>
          <w:tcPr>
            <w:tcW w:type="dxa" w:w="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Težina</w:t>
            </w:r>
          </w:p>
        </w:tc>
        <w:tc>
          <w:tcPr>
            <w:tcW w:type="dxa" w:w="115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Backtest MAPE</w:t>
            </w:r>
          </w:p>
        </w:tc>
        <w:tc>
          <w:tcPr>
            <w:tcW w:type="dxa" w:w="34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Parametri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Eksponencijalni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283,4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36,1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0,39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31,8 %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a=26.6, b=0.2525 (28.7 %/yr)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Logistički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269,4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37,9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0,16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32,2 %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K=2.103e+04, r=0.269, t_mid=2030.4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Gompertz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253,0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36,7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0,29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28,4 %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K=3.221e+09, r=0.017, t_mid=2181.2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Bass</w:t>
            </w:r>
          </w:p>
        </w:tc>
        <w:tc>
          <w:tcPr>
            <w:tcW w:type="dxa" w:w="4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dxa" w:w="10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271,0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38,0</w:t>
            </w:r>
          </w:p>
        </w:tc>
        <w:tc>
          <w:tcPr>
            <w:tcW w:type="dxa" w:w="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0,15</w:t>
            </w:r>
          </w:p>
        </w:tc>
        <w:tc>
          <w:tcPr>
            <w:tcW w:type="dxa" w:w="115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34,4 %</w:t>
            </w:r>
          </w:p>
        </w:tc>
        <w:tc>
          <w:tcPr>
            <w:tcW w:type="dxa" w:w="34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m=1.903e+05, p=0.00011, q=0.267, t_peak=2033.3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D (→ TABLE I). Modeli rasta prilagođeni godišnjem broju radova 2005.–2025. (n = 21). ĉ = 14,08. k = broj parametara; MAPE = prosjek preko ishodišta 2018., 2020., 2022.</w:t>
      </w:r>
    </w:p>
    <w:p>
      <w:pPr>
        <w:spacing w:after="120"/>
      </w:pPr>
      <w:r>
        <w:rPr>
          <w:sz w:val="21"/>
          <w:szCs w:val="21"/>
        </w:rPr>
        <w:t xml:space="preserve">Nijedan model nije uvjerljivo bolji: težine su 0,15–0,39. Eksponencijalni nosi najveću težinu (0,39; b = 0,2525, tj. 28,7 %/god.), Gompertzov (0,29) s K ≈ 3,2 milijarde degenerira u praktički eksponencijalni oblik, logistički (0,16) vidi zasićenje na K ≈ 21 000 radova/god. s točkom infleksije 2030., a Bass (0,15) predviđa vrhunac 2033. Podaci do 2025. ne mogu razlučiti gdje je točka infleksije — apsolutni rast je za sada praktički eksponencijalan.</w:t>
      </w:r>
    </w:p>
    <w:p>
      <w:pPr>
        <w:spacing w:before="120"/>
        <w:jc w:val="center"/>
      </w:pPr>
      <w:r>
        <w:drawing>
          <wp:inline distT="0" distB="0" distL="0" distR="0">
            <wp:extent cx="3168396" cy="25203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96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Fig. 1. Annual OpenAlex articles combining UAV and agricultural terms (dots), four growth models fitted by Poisson deviance (lines) and the QAICc-weighted model average with 90 % negative-binomial bootstrap interval (squares, shaded) for 2028–2035.</w:t>
      </w:r>
    </w:p>
    <w:p>
      <w:pPr>
        <w:pStyle w:val="Heading2"/>
        <w:spacing w:after="80" w:before="200"/>
      </w:pPr>
      <w:r>
        <w:t xml:space="preserve">5.2 Predviđanje broja radova (Tablica II u radu)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900"/>
        <w:gridCol w:w="1900"/>
      </w:tblGrid>
      <w:tr>
        <w:trPr>
          <w:tblHeader/>
        </w:trPr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2028. (3 g.)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2030. (5 g.)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2032. (7 g.)</w:t>
            </w:r>
          </w:p>
        </w:tc>
        <w:tc>
          <w:tcPr>
            <w:tcW w:type="dxa" w:w="1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2035. (10 g.)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Eksponencijalni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8.850 [7.914; 9.965]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14.663 [12.830; 16.852]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24.294 [20.834; 28.575]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51.812 [42.941; 63.169]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Logistički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7.258 [5.148; 9.847]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9.977 [6.056; 16.672]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12.770 [6.725; 28.273]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16.320 [7.287; 62.091]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Gompertz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7.783 [6.255; 9.574]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11.907 [8.888; 15.792]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17.963 [12.298; 26.151]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32.457 [19.084; 54.724]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Bass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7.304 [4.703; 9.812]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9.871 [4.662; 16.601]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11.950 [3.964; 28.094]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12.381 [2.372; 61.760]</w:t>
            </w:r>
          </w:p>
        </w:tc>
      </w:tr>
      <w:tr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QAICc-prosjek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8.174 [6.232; 9.304]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13.001 [8.012; 15.434]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20.437 [10.038; 25.668]</w:t>
            </w:r>
          </w:p>
        </w:tc>
        <w:tc>
          <w:tcPr>
            <w:tcW w:type="dxa" w:w="1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40.256 [13.395; 55.051]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E (→ TABLE II). Točkasta procjena i 90 % bootstrap interval [q05; q95] broja radova godišnje (1000 replika). Za QAICc-prosjek točkasta procjena je medijan bootstrap-distribucije.</w:t>
      </w:r>
    </w:p>
    <w:p>
      <w:pPr>
        <w:pStyle w:val="Heading2"/>
        <w:spacing w:after="80" w:before="200"/>
      </w:pPr>
      <w:r>
        <w:t xml:space="preserve">5.3 Predviđanje udjela u poljoprivrednoj literaturi</w:t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900"/>
        <w:gridCol w:w="1700"/>
        <w:gridCol w:w="1700"/>
        <w:gridCol w:w="1700"/>
        <w:gridCol w:w="1800"/>
      </w:tblGrid>
      <w:tr>
        <w:trPr>
          <w:tblHeader/>
        </w:trPr>
        <w:tc>
          <w:tcPr>
            <w:tcW w:type="dxa" w:w="15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Model</w:t>
            </w:r>
          </w:p>
        </w:tc>
        <w:tc>
          <w:tcPr>
            <w:tcW w:type="dxa" w:w="9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Težina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2028.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2030.</w:t>
            </w:r>
          </w:p>
        </w:tc>
        <w:tc>
          <w:tcPr>
            <w:tcW w:type="dxa" w:w="17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2032.</w:t>
            </w:r>
          </w:p>
        </w:tc>
        <w:tc>
          <w:tcPr>
            <w:tcW w:type="dxa" w:w="18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 xml:space="preserve">2035.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Eksponencijalni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0,00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16,40 [14,68; 18,12]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24,17 [21,20; 27,19]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35,61 [30,57; 40,73]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63,70 [52,96; 74,99]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Logistički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0,91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10,60 [9,51; 12,03]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11,72 [10,24; 13,86]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12,49 [10,69; 15,21]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13,16 [11,10; 16,62]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Gompertz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0,09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12,98 [11,79; 14,30]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16,63 [14,62; 18,93]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20,87 [17,72; 24,63]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28,33 [22,74; 35,47]</w:t>
            </w:r>
          </w:p>
        </w:tc>
      </w:tr>
      <w:tr>
        <w:tc>
          <w:tcPr>
            <w:tcW w:type="dxa" w:w="15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QAICc-prosjek</w:t>
            </w:r>
          </w:p>
        </w:tc>
        <w:tc>
          <w:tcPr>
            <w:tcW w:type="dxa" w:w="9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12,57 [10,85; 14,60]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15,77 [12,48; 20,31]</w:t>
            </w:r>
          </w:p>
        </w:tc>
        <w:tc>
          <w:tcPr>
            <w:tcW w:type="dxa" w:w="17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19,46 [13,97; 28,33]</w:t>
            </w:r>
          </w:p>
        </w:tc>
        <w:tc>
          <w:tcPr>
            <w:tcW w:type="dxa" w:w="18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right"/>
            </w:pPr>
            <w:r>
              <w:rPr>
                <w:b w:val="false"/>
                <w:bCs w:val="false"/>
                <w:sz w:val="18"/>
                <w:szCs w:val="18"/>
              </w:rPr>
              <w:t xml:space="preserve">26,36 [16,01; 46,89]</w:t>
            </w:r>
          </w:p>
        </w:tc>
      </w:tr>
    </w:tbl>
    <w:p>
      <w:pPr>
        <w:spacing w:after="200" w:before="60"/>
      </w:pPr>
      <w:r>
        <w:rPr>
          <w:i/>
          <w:iCs/>
          <w:sz w:val="18"/>
          <w:szCs w:val="18"/>
        </w:rPr>
        <w:t xml:space="preserve">Tablica F. Radova na 1 000 poljoprivrednih radova; točkasta procjena i 90 % bootstrap interval. ĉ = 8,57.</w:t>
      </w:r>
    </w:p>
    <w:p>
      <w:pPr>
        <w:spacing w:after="120"/>
      </w:pPr>
      <w:r>
        <w:rPr>
          <w:sz w:val="21"/>
          <w:szCs w:val="21"/>
        </w:rPr>
        <w:t xml:space="preserve">Kod udjela je slika jasnija: logistički model dobiva težinu 0,91 (Gompertz 0,09, eksponencijalni je odbačen, ΔQAICc ≈ 18), a plato je K = 13,8 na 1 000 s točkom infleksije 2023./2024. Udio je u 2025. na 8,5, tj. na 62 % procijenjenog platoa — za razliku od ekologije (85 %), poljoprivreda ima još zamjetan prostor rasta udjela. Backtest: s ishodištem 2022. logistički model ima MAPE 7,6 %, eksponencijalni 28,5 %.</w:t>
      </w:r>
    </w:p>
    <w:p>
      <w:pPr>
        <w:spacing w:before="120"/>
        <w:jc w:val="center"/>
      </w:pPr>
      <w:r>
        <w:drawing>
          <wp:inline distT="0" distB="0" distL="0" distR="0">
            <wp:extent cx="3168396" cy="252031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396" cy="252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60"/>
      </w:pPr>
      <w:r>
        <w:rPr>
          <w:i/>
          <w:iCs/>
          <w:sz w:val="18"/>
          <w:szCs w:val="18"/>
        </w:rPr>
        <w:t xml:space="preserve">Fig. 2. Share of UAV-related articles per 1000 agricultural articles (OpenAlex), fitted exponential, logistic and Gompertz rate models with the agricultural literature as offset, and QAICc-weighted forecast with 90 % bootstrap interval.</w:t>
      </w:r>
    </w:p>
    <w:p>
      <w:pPr>
        <w:pStyle w:val="Heading2"/>
        <w:spacing w:after="80" w:before="200"/>
      </w:pPr>
      <w:r>
        <w:t xml:space="preserve">5.4 Osjetljivost na 2025. i provjera unatrag</w:t>
      </w:r>
    </w:p>
    <w:p>
      <w:pPr>
        <w:spacing w:after="120"/>
      </w:pPr>
      <w:r>
        <w:rPr>
          <w:sz w:val="21"/>
          <w:szCs w:val="21"/>
        </w:rPr>
        <w:t xml:space="preserve">Bez 2025. logistički model za brojeve daje K ≈ 5 300 (umjesto 21 000) i predviđanje za 2035. od oko 5 200 umjesto 16 300. Jedna godina, koja je dijelom artefakt indeksiranja, višestruko mijenja procijenjeni kapacitet. To treba otvoreno napisati: predviđanje za 3 godine je robusno (svi modeli 7 300–8 850 radova za 2028.), predviđanje za 10 godina nije (12 400–51 800). Rolling-origin backtest daje MAPE 28–34 % preko tri ishodišta (najbolji pojedinačni: Gompertz s ishodištem 2022., 11 %) — dugoročna točnost bilo kojeg parametarskog modela rasta na ovakvoj seriji je skromna, a razlike među modelima su manje od razlike među ishodištima.</w:t>
      </w:r>
    </w:p>
    <w:p>
      <w:pPr>
        <w:pStyle w:val="Heading1"/>
        <w:spacing w:after="120" w:before="280"/>
      </w:pPr>
      <w:r>
        <w:t xml:space="preserve">6. Što to znači za rad i za robotičku publiku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Tri poruke za Discussion: (1) apsolutna produkcija raste ~28,5 %/god. i eksponencijalni model nosi najveću težinu, (2) udio u poljoprivrednoj literaturi je na 62 % platoa (13,8 na 1 000, infleksija 2023./24.) — više prostora za rast nego u ekologiji, (3) rast se seli u podatkovno vođenu agronomiju i aktuaciju (prskanje).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Implikacija za robotičare: UAV u poljoprivredi postaje aktuator — nosivost, kontrola zanošenja kapljica, ujednačenost depozicije, RTK, koordinacija više letjelica i petlje kontrole doze; na senzorskoj strani ključna je prenosivost modela (radiometrijska kalibracija, generalizacija preko polja i sezona), a ne nove kamere.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Predložena struktura za 6 stranica: I Introduction (pregled + motivacija, 0,7 str.), II Data and Methods (upiti, modeli, kriteriji, 1,3 str.), III Results (Fig. 1–3, Table I–II, 1,8 str.), IV Discussion (tri poruke + registarski kontrast + hrvatski regulatorni kontekst, 1,2 str.), V Conclusion (0,3 str.), literatura (0,7 str.).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Naslov (prijedlog): „Drones in Agriculture: Bibliometric State of the Art and Growth Forecasts to 2035“.</w:t>
      </w:r>
    </w:p>
    <w:p>
      <w:pPr>
        <w:pStyle w:val="Heading1"/>
        <w:spacing w:after="120" w:before="280"/>
      </w:pPr>
      <w:r>
        <w:t xml:space="preserve">7. Što još treba napraviti prije predaje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Pokrenuti drone_env_forecast.m u MATLAB-u s nboot = 1000 (ovaj izvještaj temelji se na Octave izvršenju iste skripte); zadržati ispis konzole kao prilog.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Potvrditi A/B/C kodove u validation/Provjera_preciznosti_upita.xlsx (100 + 50 zapisa; AI prijedlog upisan, konačnu ocjenu daje autor, po uzoru na projekt o ekologiji).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Ako je dostupan Scopus: isti Booleov upit po godinama kao križna provjera (jedan dodatni stupac).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Daviesov test za prijelomnu točku u R-u (segmented) ako želite p-vrijednost koju statističar-recenzent neće osporiti.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Provjeriti sve reference iz kolegina pregleda u izvoru (DOI-jevi), osobito „provjeriti" stavke; dodati Bass (1969), Meade &amp; Islam (2006) za modele difuzije, Burnham &amp; Anderson (2002) za QAICc, Priem i sur. (2022) za OpenAlex.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Deklaracija uporabe generativne AI u Acknowledgment prema aktualnoj IEEE politici.</w:t>
      </w:r>
    </w:p>
    <w:p>
      <w:pPr>
        <w:pStyle w:val="Heading1"/>
        <w:spacing w:after="120" w:before="280"/>
      </w:pPr>
      <w:r>
        <w:t xml:space="preserve">8. Popis isporučenih datoteka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rPr>
          <w:tblHeader/>
        </w:trPr>
        <w:tc>
          <w:tcPr>
            <w:tcW w:type="dxa" w:w="3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Datoteka</w:t>
            </w:r>
          </w:p>
        </w:tc>
        <w:tc>
          <w:tcPr>
            <w:tcW w:type="dxa" w:w="5600"/>
            <w:shd w:fill="D9E2F3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/>
                <w:bCs/>
                <w:sz w:val="18"/>
                <w:szCs w:val="18"/>
              </w:rPr>
              <w:t xml:space="preserve">Sadržaj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data/openalex_drone_agro_annual.csv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glavni skup: 27 godina × 18 serija + oznaka potpune godine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data/raw_openalex_counts.csv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isti podaci u dugom formatu (serija, godina, broj)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data/registry_indicators.csv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FAA, AESA, EASA, HACZ pokazatelji s izvorima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data/codebook.md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definicije upita, varijable, ograničenja, agregati po zemljama/časopisima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matlab/*.m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algoritam (10 datoteka), bez toolboxa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python/replicate_fits.py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neovisna replikacija fitova (scipy)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results/*.csv, *.png, *.eps, *.mat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izlaz skripte: tablice modela i predviđanja, tri slike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projection/*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projekcija 2026.–2035. (jezgra + 7 poddomena), Excel i slike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validation/*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provjera preciznosti upita: uzorci, Excel s kodovima, formule</w:t>
            </w:r>
          </w:p>
        </w:tc>
      </w:tr>
      <w:tr>
        <w:tc>
          <w:tcPr>
            <w:tcW w:type="dxa" w:w="3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paper/*</w:t>
            </w:r>
          </w:p>
        </w:tc>
        <w:tc>
          <w:tcPr>
            <w:tcW w:type="dxa" w:w="5600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18"/>
                <w:szCs w:val="18"/>
              </w:rPr>
              <w:t xml:space="preserve">rad u MIPRO predlošku (EN + HR) i skripte za izgradnju</w:t>
            </w:r>
          </w:p>
        </w:tc>
      </w:tr>
    </w:tbl>
    <w:sectPr>
      <w:pgSz w:w="11906" w:h="16838" w:orient="portrait"/>
      <w:pgMar w:top="1418" w:right="1418" w:bottom="1418" w:left="1418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outlineLvl w:val="1"/>
    </w:pPr>
    <w:rPr>
      <w:b/>
      <w:bCs/>
      <w:color w:val="2E539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a4c32356977e8d1766135f229e9a8fa0f5ae7849.png"/><Relationship Id="rId8" Type="http://schemas.openxmlformats.org/officeDocument/2006/relationships/image" Target="media/6b3a99ec8b008d89b36d9b3e08262c19440a8825.png"/><Relationship Id="rId9" Type="http://schemas.openxmlformats.org/officeDocument/2006/relationships/image" Target="media/b37709036eb10a484b78f463e0438d23fa3ff01b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2026-08-27T21:38:47.770Z</dcterms:created>
  <dcterms:modified xsi:type="dcterms:W3CDTF">2026-08-27T21:38:47.770Z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