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0"/>
          <w:szCs w:val="20"/>
        </w:rPr>
        <w:t xml:space="preserve">Received: 22 October 2026</w:t>
      </w:r>
    </w:p>
    <w:p>
      <w:pPr>
        <w:spacing w:after="0"/>
      </w:pPr>
      <w:r>
        <w:rPr>
          <w:rFonts w:ascii="Times New Roman" w:cs="Times New Roman" w:eastAsia="Times New Roman" w:hAnsi="Times New Roman"/>
          <w:sz w:val="20"/>
          <w:szCs w:val="20"/>
        </w:rPr>
        <w:t xml:space="preserve">Accepted: Will be filled by the publisher</w:t>
      </w:r>
    </w:p>
    <w:p>
      <w:pPr>
        <w:spacing w:after="480"/>
      </w:pPr>
      <w:r>
        <w:rPr>
          <w:rFonts w:ascii="Times New Roman" w:cs="Times New Roman" w:eastAsia="Times New Roman" w:hAnsi="Times New Roman"/>
          <w:sz w:val="20"/>
          <w:szCs w:val="20"/>
        </w:rPr>
        <w:t xml:space="preserve">Published: Will be filled by the publisher</w:t>
      </w:r>
    </w:p>
    <w:p>
      <w:pPr>
        <w:spacing w:after="360"/>
        <w:jc w:val="center"/>
      </w:pPr>
      <w:r>
        <w:rPr>
          <w:rFonts w:ascii="Times New Roman" w:cs="Times New Roman" w:eastAsia="Times New Roman" w:hAnsi="Times New Roman"/>
          <w:b/>
          <w:bCs/>
          <w:sz w:val="28"/>
          <w:szCs w:val="28"/>
        </w:rPr>
        <w:t xml:space="preserve">Keyword Networks, Thematic Evolution and Growth Forecasts of Agricultural Drone Research to 2035</w:t>
      </w:r>
    </w:p>
    <w:p>
      <w:pPr>
        <w:spacing w:after="0"/>
        <w:jc w:val="center"/>
      </w:pPr>
      <w:r>
        <w:rPr>
          <w:rFonts w:ascii="Times New Roman" w:cs="Times New Roman" w:eastAsia="Times New Roman" w:hAnsi="Times New Roman"/>
          <w:b/>
          <w:bCs/>
          <w:sz w:val="24"/>
          <w:szCs w:val="24"/>
        </w:rPr>
        <w:t xml:space="preserve">Vedran Uroš</w:t>
      </w:r>
      <w:r>
        <w:rPr>
          <w:rStyle w:val="FootnoteReference"/>
        </w:rPr>
        <w:footnoteReference w:id="1"/>
      </w:r>
      <w:r>
        <w:rPr>
          <w:rFonts w:ascii="Times New Roman" w:cs="Times New Roman" w:eastAsia="Times New Roman" w:hAnsi="Times New Roman"/>
        </w:rPr>
        <w:t xml:space="preserve">  </w:t>
      </w:r>
      <w:hyperlink w:history="1" r:id="rId-msksfgv65zb5bym75_hb">
        <w:r>
          <w:rPr>
            <w:rFonts w:ascii="Times New Roman" w:cs="Times New Roman" w:eastAsia="Times New Roman" w:hAnsi="Times New Roman"/>
            <w:color w:val="0563C1"/>
            <w:sz w:val="20"/>
            <w:szCs w:val="20"/>
            <w:u w:val="single"/>
          </w:rPr>
          <w:t xml:space="preserve">https://orcid.org/0009-0007-6568-0827</w:t>
        </w:r>
      </w:hyperlink>
    </w:p>
    <w:p>
      <w:pPr>
        <w:spacing w:after="0"/>
        <w:jc w:val="center"/>
      </w:pPr>
      <w:r>
        <w:rPr>
          <w:rFonts w:ascii="Times New Roman" w:cs="Times New Roman" w:eastAsia="Times New Roman" w:hAnsi="Times New Roman"/>
          <w:b/>
          <w:bCs/>
          <w:sz w:val="24"/>
          <w:szCs w:val="24"/>
        </w:rPr>
        <w:t xml:space="preserve">Marko Jelić</w:t>
      </w:r>
      <w:r>
        <w:rPr>
          <w:rStyle w:val="FootnoteReference"/>
        </w:rPr>
        <w:footnoteReference w:id="2"/>
      </w:r>
      <w:r>
        <w:rPr>
          <w:rFonts w:ascii="Times New Roman" w:cs="Times New Roman" w:eastAsia="Times New Roman" w:hAnsi="Times New Roman"/>
        </w:rPr>
        <w:t xml:space="preserve">  </w:t>
      </w:r>
      <w:hyperlink w:history="1" r:id="rIdmwz6xra39qldwrk4l-pct">
        <w:r>
          <w:rPr>
            <w:rFonts w:ascii="Times New Roman" w:cs="Times New Roman" w:eastAsia="Times New Roman" w:hAnsi="Times New Roman"/>
            <w:color w:val="0563C1"/>
            <w:sz w:val="20"/>
            <w:szCs w:val="20"/>
            <w:u w:val="single"/>
          </w:rPr>
          <w:t xml:space="preserve">https://orcid.org/0009-0006-4135-5221</w:t>
        </w:r>
      </w:hyperlink>
    </w:p>
    <w:p>
      <w:pPr>
        <w:spacing w:after="360"/>
        <w:jc w:val="center"/>
      </w:pPr>
      <w:r>
        <w:rPr>
          <w:rFonts w:ascii="Times New Roman" w:cs="Times New Roman" w:eastAsia="Times New Roman" w:hAnsi="Times New Roman"/>
          <w:b/>
          <w:bCs/>
          <w:sz w:val="24"/>
          <w:szCs w:val="24"/>
        </w:rPr>
        <w:t xml:space="preserve">Sandra Mandinić</w:t>
      </w:r>
      <w:r>
        <w:rPr>
          <w:rStyle w:val="FootnoteReference"/>
        </w:rPr>
        <w:footnoteReference w:id="3"/>
      </w:r>
      <w:r>
        <w:rPr>
          <w:rFonts w:ascii="Times New Roman" w:cs="Times New Roman" w:eastAsia="Times New Roman" w:hAnsi="Times New Roman"/>
        </w:rPr>
        <w:t xml:space="preserve">  </w:t>
      </w:r>
      <w:hyperlink w:history="1" r:id="rIdmyblxud68blcd-agfbg90">
        <w:r>
          <w:rPr>
            <w:rFonts w:ascii="Times New Roman" w:cs="Times New Roman" w:eastAsia="Times New Roman" w:hAnsi="Times New Roman"/>
            <w:color w:val="0563C1"/>
            <w:sz w:val="20"/>
            <w:szCs w:val="20"/>
            <w:u w:val="single"/>
          </w:rPr>
          <w:t xml:space="preserve">https://orcid.org/0009-0009-1312-5914</w:t>
        </w:r>
      </w:hyperlink>
    </w:p>
    <w:p>
      <w:pPr>
        <w:spacing w:after="240" w:line="240"/>
        <w:jc w:val="both"/>
      </w:pPr>
      <w:r>
        <w:rPr>
          <w:rFonts w:ascii="Times New Roman" w:cs="Times New Roman" w:eastAsia="Times New Roman" w:hAnsi="Times New Roman"/>
          <w:b/>
          <w:bCs/>
          <w:i/>
          <w:iCs/>
        </w:rPr>
        <w:t xml:space="preserve">Abstract: </w:t>
      </w:r>
      <w:r>
        <w:rPr>
          <w:rFonts w:ascii="Times New Roman" w:cs="Times New Roman" w:eastAsia="Times New Roman" w:hAnsi="Times New Roman"/>
          <w:i/>
          <w:iCs/>
        </w:rPr>
        <w:t xml:space="preserve">This paper presents a bibliometric analysis of research on agricultural drones and forecasts its growth to 2035. The corpus contains 18,506 OpenAlex articles from 2005 to 2025 that combine drone and agricultural terms, together with their keywords. A keyword co-occurrence network with Louvain clustering identifies five research themes, and a thematic evolution analysis follows them across five periods. For growth forecasting, four models (exponential, logistic, Gompertz and Bass) are compared with a quasi-likelihood criterion, backtested and bootstrapped. Annual output grew by 28.5 percent per year and reached 4,381 articles in 2025. The research focus is moving from vegetation indices and field mapping towards deep learning, object detection and disease monitoring for precision agriculture. The share of drone studies in the agricultural literature approaches a plateau of about 14 per 1,000 articles, and 62 percent of it has been reached. The saturating models forecast about 24,000 articles in 2035.</w:t>
      </w:r>
    </w:p>
    <w:p>
      <w:pPr>
        <w:spacing w:after="360"/>
        <w:jc w:val="both"/>
      </w:pPr>
      <w:r>
        <w:rPr>
          <w:rFonts w:ascii="Times New Roman" w:cs="Times New Roman" w:eastAsia="Times New Roman" w:hAnsi="Times New Roman"/>
          <w:b/>
          <w:bCs/>
          <w:i/>
          <w:iCs/>
        </w:rPr>
        <w:t xml:space="preserve">Keywords: </w:t>
      </w:r>
      <w:r>
        <w:rPr>
          <w:rFonts w:ascii="Times New Roman" w:cs="Times New Roman" w:eastAsia="Times New Roman" w:hAnsi="Times New Roman"/>
          <w:i/>
          <w:iCs/>
        </w:rPr>
        <w:t xml:space="preserve">Agricultural drones, Bibliometric analysis, Keyword co-occurrence, Thematic evolution, Growth forecasting, Precision agriculture</w:t>
      </w:r>
    </w:p>
    <w:p>
      <w:pPr>
        <w:keepNext/>
        <w:spacing w:after="240" w:before="240"/>
      </w:pPr>
      <w:r>
        <w:rPr>
          <w:rFonts w:ascii="Times New Roman" w:cs="Times New Roman" w:eastAsia="Times New Roman" w:hAnsi="Times New Roman"/>
          <w:b/>
          <w:bCs/>
          <w:sz w:val="24"/>
          <w:szCs w:val="24"/>
        </w:rPr>
        <w:t xml:space="preserve">1. INTRODUCTION</w:t>
      </w:r>
    </w:p>
    <w:p>
      <w:pPr>
        <w:spacing w:after="240" w:line="240"/>
        <w:jc w:val="both"/>
      </w:pPr>
      <w:r>
        <w:rPr>
          <w:rFonts w:ascii="Times New Roman" w:cs="Times New Roman" w:eastAsia="Times New Roman" w:hAnsi="Times New Roman"/>
        </w:rPr>
        <w:t xml:space="preserve">Drones have become a standard tool of precision agriculture. Small unmanned aerial vehicles (UAVs) carry RGB, multispectral, thermal and LiDAR sensors over fields at low cost, and they increasingly apply pesticides and fertilizers </w:t>
      </w:r>
      <w:r>
        <w:rPr>
          <w:rFonts w:ascii="Times New Roman" w:cs="Times New Roman" w:eastAsia="Times New Roman" w:hAnsi="Times New Roman"/>
          <w:color w:val="ED7D31"/>
        </w:rPr>
        <w:t xml:space="preserve">(Tsouros et al., 2019; Hafeez et al., 2023)</w:t>
      </w:r>
      <w:r>
        <w:rPr>
          <w:rFonts w:ascii="Times New Roman" w:cs="Times New Roman" w:eastAsia="Times New Roman" w:hAnsi="Times New Roman"/>
        </w:rPr>
        <w:t xml:space="preserve">. About 400,000 agricultural drones of a single manufacturer were in use at the end of 2024, 90 percent more than in 2020 </w:t>
      </w:r>
      <w:r>
        <w:rPr>
          <w:rFonts w:ascii="Times New Roman" w:cs="Times New Roman" w:eastAsia="Times New Roman" w:hAnsi="Times New Roman"/>
          <w:color w:val="ED7D31"/>
        </w:rPr>
        <w:t xml:space="preserve">(DJI Agriculture, 2025)</w:t>
      </w:r>
      <w:r>
        <w:rPr>
          <w:rFonts w:ascii="Times New Roman" w:cs="Times New Roman" w:eastAsia="Times New Roman" w:hAnsi="Times New Roman"/>
        </w:rPr>
        <w:t xml:space="preserve">.</w:t>
      </w:r>
    </w:p>
    <w:p>
      <w:pPr>
        <w:spacing w:after="240" w:line="240"/>
        <w:jc w:val="both"/>
      </w:pPr>
      <w:r>
        <w:rPr>
          <w:rFonts w:ascii="Times New Roman" w:cs="Times New Roman" w:eastAsia="Times New Roman" w:hAnsi="Times New Roman"/>
        </w:rPr>
        <w:t xml:space="preserve">For farm managers, technology providers and policy makers, three questions follow. How fast is research on agricultural drones growing relative to agricultural science as a whole? Which themes drive this growth today? Is the field still in an exponential phase, or is it approaching saturation? Earlier bibliometric reviews mapped the structure of the field up to 2021 </w:t>
      </w:r>
      <w:r>
        <w:rPr>
          <w:rFonts w:ascii="Times New Roman" w:cs="Times New Roman" w:eastAsia="Times New Roman" w:hAnsi="Times New Roman"/>
          <w:color w:val="ED7D31"/>
        </w:rPr>
        <w:t xml:space="preserve">(Rejeb et al., 2022)</w:t>
      </w:r>
      <w:r>
        <w:rPr>
          <w:rFonts w:ascii="Times New Roman" w:cs="Times New Roman" w:eastAsia="Times New Roman" w:hAnsi="Times New Roman"/>
        </w:rPr>
        <w:t xml:space="preserve">, but they did not model its dynamics or follow its themes into the deep-learning era.</w:t>
      </w:r>
    </w:p>
    <w:p>
      <w:pPr>
        <w:spacing w:after="240" w:line="240"/>
        <w:jc w:val="both"/>
      </w:pPr>
      <w:r>
        <w:rPr>
          <w:rFonts w:ascii="Times New Roman" w:cs="Times New Roman" w:eastAsia="Times New Roman" w:hAnsi="Times New Roman"/>
        </w:rPr>
        <w:t xml:space="preserve">This paper combines science mapping with growth forecasting on one open corpus. It contributes a keyword co-occurrence network with data-driven research themes, a thematic evolution analysis from 2005 to 2026 with a heatmap of emerging keywords, and bootstrapped growth forecasts to 2035. The growth series and the forecasting pipeline were first described in an earlier conference paper </w:t>
      </w:r>
      <w:r>
        <w:rPr>
          <w:rFonts w:ascii="Times New Roman" w:cs="Times New Roman" w:eastAsia="Times New Roman" w:hAnsi="Times New Roman"/>
          <w:color w:val="ED7D31"/>
        </w:rPr>
        <w:t xml:space="preserve">(Jelić et al., In Press-a)</w:t>
      </w:r>
      <w:r>
        <w:rPr>
          <w:rFonts w:ascii="Times New Roman" w:cs="Times New Roman" w:eastAsia="Times New Roman" w:hAnsi="Times New Roman"/>
        </w:rPr>
        <w:t xml:space="preserve">; this paper adds the keyword-level analyses, an updated retrieval and an interpretation for agribusiness and policy.</w:t>
      </w:r>
    </w:p>
    <w:p>
      <w:pPr>
        <w:spacing w:after="240" w:line="240"/>
        <w:jc w:val="both"/>
      </w:pPr>
      <w:r>
        <w:rPr>
          <w:rFonts w:ascii="Times New Roman" w:cs="Times New Roman" w:eastAsia="Times New Roman" w:hAnsi="Times New Roman"/>
        </w:rPr>
        <w:t xml:space="preserve">The rest of the paper is structured as follows. Section 2 reviews the literature. Section 3 describes the data and methods, and Section 4 presents the results. Section 5 discusses their implications, Section 6 outlines future research directions, and Section 7 concludes.</w:t>
      </w:r>
    </w:p>
    <w:p>
      <w:pPr>
        <w:keepNext/>
        <w:spacing w:after="240" w:before="240"/>
      </w:pPr>
      <w:r>
        <w:rPr>
          <w:rFonts w:ascii="Times New Roman" w:cs="Times New Roman" w:eastAsia="Times New Roman" w:hAnsi="Times New Roman"/>
          <w:b/>
          <w:bCs/>
          <w:sz w:val="24"/>
          <w:szCs w:val="24"/>
        </w:rPr>
        <w:t xml:space="preserve">2. LITERATURE REVIEW</w:t>
      </w:r>
    </w:p>
    <w:p>
      <w:pPr>
        <w:spacing w:after="240" w:line="240"/>
        <w:jc w:val="both"/>
      </w:pPr>
      <w:r>
        <w:rPr>
          <w:rFonts w:ascii="Times New Roman" w:cs="Times New Roman" w:eastAsia="Times New Roman" w:hAnsi="Times New Roman"/>
        </w:rPr>
        <w:t xml:space="preserve">Reviews of agricultural drones agree on a common set of applications: crop monitoring, phenotyping, weed mapping, irrigation scheduling, disease detection, yield estimation and spraying </w:t>
      </w:r>
      <w:r>
        <w:rPr>
          <w:rFonts w:ascii="Times New Roman" w:cs="Times New Roman" w:eastAsia="Times New Roman" w:hAnsi="Times New Roman"/>
          <w:color w:val="ED7D31"/>
        </w:rPr>
        <w:t xml:space="preserve">(Zhang &amp; Kovacs, 2012; Maes &amp; Steppe, 2019; Tsouros et al., 2019)</w:t>
      </w:r>
      <w:r>
        <w:rPr>
          <w:rFonts w:ascii="Times New Roman" w:cs="Times New Roman" w:eastAsia="Times New Roman" w:hAnsi="Times New Roman"/>
        </w:rPr>
        <w:t xml:space="preserve">. Two limitations recur. Vegetation indices transfer poorly between fields and seasons, and drone services pay off only at sufficient scale </w:t>
      </w:r>
      <w:r>
        <w:rPr>
          <w:rFonts w:ascii="Times New Roman" w:cs="Times New Roman" w:eastAsia="Times New Roman" w:hAnsi="Times New Roman"/>
          <w:color w:val="ED7D31"/>
        </w:rPr>
        <w:t xml:space="preserve">(Hunt &amp; Daughtry, 2018)</w:t>
      </w:r>
      <w:r>
        <w:rPr>
          <w:rFonts w:ascii="Times New Roman" w:cs="Times New Roman" w:eastAsia="Times New Roman" w:hAnsi="Times New Roman"/>
        </w:rPr>
        <w:t xml:space="preserve">. After 2018, machine learning and deep learning became the standard way to turn UAV imagery into crop traits </w:t>
      </w:r>
      <w:r>
        <w:rPr>
          <w:rFonts w:ascii="Times New Roman" w:cs="Times New Roman" w:eastAsia="Times New Roman" w:hAnsi="Times New Roman"/>
          <w:color w:val="ED7D31"/>
        </w:rPr>
        <w:t xml:space="preserve">(Maimaitijiang et al., 2020; Shahi et al., 2022)</w:t>
      </w:r>
      <w:r>
        <w:rPr>
          <w:rFonts w:ascii="Times New Roman" w:cs="Times New Roman" w:eastAsia="Times New Roman" w:hAnsi="Times New Roman"/>
        </w:rPr>
        <w:t xml:space="preserve">. In parallel, spraying turned the drone from a sensor into an actuator, led by China </w:t>
      </w:r>
      <w:r>
        <w:rPr>
          <w:rFonts w:ascii="Times New Roman" w:cs="Times New Roman" w:eastAsia="Times New Roman" w:hAnsi="Times New Roman"/>
          <w:color w:val="ED7D31"/>
        </w:rPr>
        <w:t xml:space="preserve">(Hu et al., 2022)</w:t>
      </w:r>
      <w:r>
        <w:rPr>
          <w:rFonts w:ascii="Times New Roman" w:cs="Times New Roman" w:eastAsia="Times New Roman" w:hAnsi="Times New Roman"/>
        </w:rPr>
        <w:t xml:space="preserve">, while the European Union prohibits aerial spraying except under derogation </w:t>
      </w:r>
      <w:r>
        <w:rPr>
          <w:rFonts w:ascii="Times New Roman" w:cs="Times New Roman" w:eastAsia="Times New Roman" w:hAnsi="Times New Roman"/>
          <w:color w:val="ED7D31"/>
        </w:rPr>
        <w:t xml:space="preserve">(Directive 2009/128/EC, 2009)</w:t>
      </w:r>
      <w:r>
        <w:rPr>
          <w:rFonts w:ascii="Times New Roman" w:cs="Times New Roman" w:eastAsia="Times New Roman" w:hAnsi="Times New Roman"/>
        </w:rPr>
        <w:t xml:space="preserve">.</w:t>
      </w:r>
    </w:p>
    <w:p>
      <w:pPr>
        <w:spacing w:after="240" w:line="240"/>
        <w:jc w:val="both"/>
      </w:pPr>
      <w:r>
        <w:rPr>
          <w:rFonts w:ascii="Times New Roman" w:cs="Times New Roman" w:eastAsia="Times New Roman" w:hAnsi="Times New Roman"/>
        </w:rPr>
        <w:t xml:space="preserve">Science mapping describes a field through networks of co-occurring keywords. Association strength normalizes co-occurrence for keyword frequency </w:t>
      </w:r>
      <w:r>
        <w:rPr>
          <w:rFonts w:ascii="Times New Roman" w:cs="Times New Roman" w:eastAsia="Times New Roman" w:hAnsi="Times New Roman"/>
          <w:color w:val="ED7D31"/>
        </w:rPr>
        <w:t xml:space="preserve">(van Eck &amp; Waltman, 2009)</w:t>
      </w:r>
      <w:r>
        <w:rPr>
          <w:rFonts w:ascii="Times New Roman" w:cs="Times New Roman" w:eastAsia="Times New Roman" w:hAnsi="Times New Roman"/>
        </w:rPr>
        <w:t xml:space="preserve">, the Louvain method finds clusters </w:t>
      </w:r>
      <w:r>
        <w:rPr>
          <w:rFonts w:ascii="Times New Roman" w:cs="Times New Roman" w:eastAsia="Times New Roman" w:hAnsi="Times New Roman"/>
          <w:color w:val="ED7D31"/>
        </w:rPr>
        <w:t xml:space="preserve">(Blondel et al., 2008)</w:t>
      </w:r>
      <w:r>
        <w:rPr>
          <w:rFonts w:ascii="Times New Roman" w:cs="Times New Roman" w:eastAsia="Times New Roman" w:hAnsi="Times New Roman"/>
        </w:rPr>
        <w:t xml:space="preserve">, and thematic evolution analysis links clusters across periods </w:t>
      </w:r>
      <w:r>
        <w:rPr>
          <w:rFonts w:ascii="Times New Roman" w:cs="Times New Roman" w:eastAsia="Times New Roman" w:hAnsi="Times New Roman"/>
          <w:color w:val="ED7D31"/>
        </w:rPr>
        <w:t xml:space="preserve">(Cobo et al., 2011; Aria &amp; Cuccurullo, 2017)</w:t>
      </w:r>
      <w:r>
        <w:rPr>
          <w:rFonts w:ascii="Times New Roman" w:cs="Times New Roman" w:eastAsia="Times New Roman" w:hAnsi="Times New Roman"/>
        </w:rPr>
        <w:t xml:space="preserve">. Growth forecasting relies on diffusion and saturation curves, such as the Bass model </w:t>
      </w:r>
      <w:r>
        <w:rPr>
          <w:rFonts w:ascii="Times New Roman" w:cs="Times New Roman" w:eastAsia="Times New Roman" w:hAnsi="Times New Roman"/>
          <w:color w:val="ED7D31"/>
        </w:rPr>
        <w:t xml:space="preserve">(Bass, 1969)</w:t>
      </w:r>
      <w:r>
        <w:rPr>
          <w:rFonts w:ascii="Times New Roman" w:cs="Times New Roman" w:eastAsia="Times New Roman" w:hAnsi="Times New Roman"/>
        </w:rPr>
        <w:t xml:space="preserve">. Because no single curve dominates, models should be combined </w:t>
      </w:r>
      <w:r>
        <w:rPr>
          <w:rFonts w:ascii="Times New Roman" w:cs="Times New Roman" w:eastAsia="Times New Roman" w:hAnsi="Times New Roman"/>
          <w:color w:val="ED7D31"/>
        </w:rPr>
        <w:t xml:space="preserve">(Meade &amp; Islam, 2006)</w:t>
      </w:r>
      <w:r>
        <w:rPr>
          <w:rFonts w:ascii="Times New Roman" w:cs="Times New Roman" w:eastAsia="Times New Roman" w:hAnsi="Times New Roman"/>
        </w:rPr>
        <w:t xml:space="preserve">, and publication counts should be normalized for the growth of science itself </w:t>
      </w:r>
      <w:r>
        <w:rPr>
          <w:rFonts w:ascii="Times New Roman" w:cs="Times New Roman" w:eastAsia="Times New Roman" w:hAnsi="Times New Roman"/>
          <w:color w:val="ED7D31"/>
        </w:rPr>
        <w:t xml:space="preserve">(Bornmann &amp; Mutz, 2015)</w:t>
      </w:r>
      <w:r>
        <w:rPr>
          <w:rFonts w:ascii="Times New Roman" w:cs="Times New Roman" w:eastAsia="Times New Roman" w:hAnsi="Times New Roman"/>
        </w:rPr>
        <w:t xml:space="preserve">. The closest antecedent dated the surge of agricultural drone research after 2010 </w:t>
      </w:r>
      <w:r>
        <w:rPr>
          <w:rFonts w:ascii="Times New Roman" w:cs="Times New Roman" w:eastAsia="Times New Roman" w:hAnsi="Times New Roman"/>
          <w:color w:val="ED7D31"/>
        </w:rPr>
        <w:t xml:space="preserve">(Rejeb et al., 2022)</w:t>
      </w:r>
      <w:r>
        <w:rPr>
          <w:rFonts w:ascii="Times New Roman" w:cs="Times New Roman" w:eastAsia="Times New Roman" w:hAnsi="Times New Roman"/>
        </w:rPr>
        <w:t xml:space="preserve">, but it did not combine mapping with forecasting.</w:t>
      </w:r>
    </w:p>
    <w:p>
      <w:pPr>
        <w:keepNext/>
        <w:spacing w:after="240" w:before="240"/>
      </w:pPr>
      <w:r>
        <w:rPr>
          <w:rFonts w:ascii="Times New Roman" w:cs="Times New Roman" w:eastAsia="Times New Roman" w:hAnsi="Times New Roman"/>
          <w:b/>
          <w:bCs/>
          <w:sz w:val="24"/>
          <w:szCs w:val="24"/>
        </w:rPr>
        <w:t xml:space="preserve">3. DATA AND METHODS</w:t>
      </w:r>
    </w:p>
    <w:p>
      <w:pPr>
        <w:keepNext/>
        <w:spacing w:after="240" w:before="120"/>
      </w:pPr>
      <w:r>
        <w:rPr>
          <w:rFonts w:ascii="Times New Roman" w:cs="Times New Roman" w:eastAsia="Times New Roman" w:hAnsi="Times New Roman"/>
          <w:b/>
          <w:bCs/>
          <w:sz w:val="24"/>
          <w:szCs w:val="24"/>
        </w:rPr>
        <w:t xml:space="preserve">3.1. Corpus</w:t>
      </w:r>
    </w:p>
    <w:p>
      <w:pPr>
        <w:spacing w:after="240" w:line="240"/>
        <w:jc w:val="both"/>
      </w:pPr>
      <w:r>
        <w:rPr>
          <w:rFonts w:ascii="Times New Roman" w:cs="Times New Roman" w:eastAsia="Times New Roman" w:hAnsi="Times New Roman"/>
        </w:rPr>
        <w:t xml:space="preserve">All data come from OpenAlex, an open index of scholarly works </w:t>
      </w:r>
      <w:r>
        <w:rPr>
          <w:rFonts w:ascii="Times New Roman" w:cs="Times New Roman" w:eastAsia="Times New Roman" w:hAnsi="Times New Roman"/>
          <w:color w:val="ED7D31"/>
        </w:rPr>
        <w:t xml:space="preserve">(Priem et al., 2022)</w:t>
      </w:r>
      <w:r>
        <w:rPr>
          <w:rFonts w:ascii="Times New Roman" w:cs="Times New Roman" w:eastAsia="Times New Roman" w:hAnsi="Times New Roman"/>
        </w:rPr>
        <w:t xml:space="preserve">. Articles and reviews were selected by a Boolean search of titles and abstracts that combined nine drone terms (drone, UAV, UAS, RPAS and variants) with 38 agricultural terms (crop, yield, irrigation, spraying, weed, livestock and others). A noise filter removed homonyms such as the Drosophila GAL4/UAS system and bee drones. Annual counts for 2005-2025 were retrieved on 28 August 2026, together with the agricultural literature found with the same terms, which serves as the denominator, and three alternative denominators. Seven overlapping sub-domain queries combined the drone terms with application terms.</w:t>
      </w:r>
    </w:p>
    <w:p>
      <w:pPr>
        <w:spacing w:after="240" w:line="240"/>
        <w:jc w:val="both"/>
      </w:pPr>
      <w:r>
        <w:rPr>
          <w:rFonts w:ascii="Times New Roman" w:cs="Times New Roman" w:eastAsia="Times New Roman" w:hAnsi="Times New Roman"/>
        </w:rPr>
        <w:t xml:space="preserve">For the keyword analyses, the full records of the same query, including the OpenAlex keywords, were retrieved on 22 October 2026. The retrieval reproduced the August series (4,398 against 4,381 articles for 2025) and added the first ten months of 2026. Records with residual homonyms, mostly the molecular-biology acronym RPA, were excluded (723 records, 3.1 percent), leaving 22,357 records with 8.5 keywords on average. A manual check of 100 random records estimated the precision of the query at 61 percent (95 percent interval 51-70 percent), lower in the early years, so absolute counts are read as query-matched records, while growth rates and shares are robust.</w:t>
      </w:r>
    </w:p>
    <w:p>
      <w:pPr>
        <w:keepNext/>
        <w:spacing w:after="240" w:before="120"/>
      </w:pPr>
      <w:r>
        <w:rPr>
          <w:rFonts w:ascii="Times New Roman" w:cs="Times New Roman" w:eastAsia="Times New Roman" w:hAnsi="Times New Roman"/>
          <w:b/>
          <w:bCs/>
          <w:sz w:val="24"/>
          <w:szCs w:val="24"/>
        </w:rPr>
        <w:t xml:space="preserve">3.2. Keyword Networks and Thematic Evolution</w:t>
      </w:r>
    </w:p>
    <w:p>
      <w:pPr>
        <w:spacing w:after="240" w:line="240"/>
        <w:jc w:val="both"/>
      </w:pPr>
      <w:r>
        <w:rPr>
          <w:rFonts w:ascii="Times New Roman" w:cs="Times New Roman" w:eastAsia="Times New Roman" w:hAnsi="Times New Roman"/>
        </w:rPr>
        <w:t xml:space="preserve">The co-occurrence network contains the 60 most frequent keywords. Two keywords are linked when they co-occur in at least three records, and each link is weighted by association strength </w:t>
      </w:r>
      <w:r>
        <w:rPr>
          <w:rFonts w:ascii="Times New Roman" w:cs="Times New Roman" w:eastAsia="Times New Roman" w:hAnsi="Times New Roman"/>
          <w:color w:val="ED7D31"/>
        </w:rPr>
        <w:t xml:space="preserve">(van Eck &amp; Waltman, 2009)</w:t>
      </w:r>
      <w:r>
        <w:rPr>
          <w:rFonts w:ascii="Times New Roman" w:cs="Times New Roman" w:eastAsia="Times New Roman" w:hAnsi="Times New Roman"/>
        </w:rPr>
        <w:t xml:space="preserve">:</w:t>
      </w:r>
    </w:p>
    <w:p>
      <w:pPr>
        <w:tabs>
          <w:tab w:val="center" w:pos="4536"/>
          <w:tab w:val="right" w:pos="9071"/>
        </w:tabs>
        <w:spacing w:after="240" w:before="120"/>
      </w:pPr>
      <w:r>
        <w:rPr>
          <w:rFonts w:ascii="Times New Roman" w:cs="Times New Roman" w:eastAsia="Times New Roman" w:hAnsi="Times New Roman"/>
        </w:rPr>
        <w:tab/>
      </w:r>
      <m:oMath>
        <m:sSub>
          <m:sSubPr/>
          <m:e>
            <m:r>
              <m:t>s</m:t>
            </m:r>
          </m:e>
          <m:sub>
            <m:r>
              <m:t>ij</m:t>
            </m:r>
          </m:sub>
        </m:sSub>
        <m:r>
          <m:t>=</m:t>
        </m:r>
        <m:f>
          <m:num>
            <m:r>
              <m:t>N</m:t>
            </m:r>
            <m:sSub>
              <m:sSubPr/>
              <m:e>
                <m:r>
                  <m:t>c</m:t>
                </m:r>
              </m:e>
              <m:sub>
                <m:r>
                  <m:t>ij</m:t>
                </m:r>
              </m:sub>
            </m:sSub>
          </m:num>
          <m:den>
            <m:sSub>
              <m:sSubPr/>
              <m:e>
                <m:r>
                  <m:t>f</m:t>
                </m:r>
              </m:e>
              <m:sub>
                <m:r>
                  <m:t>i</m:t>
                </m:r>
              </m:sub>
            </m:sSub>
            <m:sSub>
              <m:sSubPr/>
              <m:e>
                <m:r>
                  <m:t>f</m:t>
                </m:r>
              </m:e>
              <m:sub>
                <m:r>
                  <m:t>j</m:t>
                </m:r>
              </m:sub>
            </m:sSub>
          </m:den>
        </m:f>
      </m:oMath>
      <w:r>
        <w:rPr>
          <w:rFonts w:ascii="Times New Roman" w:cs="Times New Roman" w:eastAsia="Times New Roman" w:hAnsi="Times New Roman"/>
        </w:rPr>
        <w:tab/>
        <w:t xml:space="preserve">(1)</w:t>
      </w:r>
    </w:p>
    <w:p>
      <w:pPr>
        <w:spacing w:after="240" w:line="24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c</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rPr>
        <w:t xml:space="preserve"> is the number of records containing both keywords,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i</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j</w:t>
      </w:r>
      <w:r>
        <w:rPr>
          <w:rFonts w:ascii="Times New Roman" w:cs="Times New Roman" w:eastAsia="Times New Roman" w:hAnsi="Times New Roman"/>
        </w:rPr>
        <w:t xml:space="preserve"> are their frequencies and </w:t>
      </w:r>
      <w:r>
        <w:rPr>
          <w:rFonts w:ascii="Times New Roman" w:cs="Times New Roman" w:eastAsia="Times New Roman" w:hAnsi="Times New Roman"/>
          <w:i/>
          <w:iCs/>
        </w:rPr>
        <w:t xml:space="preserve">N</w:t>
      </w:r>
      <w:r>
        <w:rPr>
          <w:rFonts w:ascii="Times New Roman" w:cs="Times New Roman" w:eastAsia="Times New Roman" w:hAnsi="Times New Roman"/>
        </w:rPr>
        <w:t xml:space="preserve"> is the number of records. Clusters were found with the Louvain method </w:t>
      </w:r>
      <w:r>
        <w:rPr>
          <w:rFonts w:ascii="Times New Roman" w:cs="Times New Roman" w:eastAsia="Times New Roman" w:hAnsi="Times New Roman"/>
          <w:color w:val="ED7D31"/>
        </w:rPr>
        <w:t xml:space="preserve">(Blondel et al., 2008)</w:t>
      </w:r>
      <w:r>
        <w:rPr>
          <w:rFonts w:ascii="Times New Roman" w:cs="Times New Roman" w:eastAsia="Times New Roman" w:hAnsi="Times New Roman"/>
        </w:rPr>
        <w:t xml:space="preserve">, clusters with fewer than three keywords were merged into their closest neighbor, and the map was laid out with ForceAtlas2 </w:t>
      </w:r>
      <w:r>
        <w:rPr>
          <w:rFonts w:ascii="Times New Roman" w:cs="Times New Roman" w:eastAsia="Times New Roman" w:hAnsi="Times New Roman"/>
          <w:color w:val="ED7D31"/>
        </w:rPr>
        <w:t xml:space="preserve">(Jacomy et al., 2014)</w:t>
      </w:r>
      <w:r>
        <w:rPr>
          <w:rFonts w:ascii="Times New Roman" w:cs="Times New Roman" w:eastAsia="Times New Roman" w:hAnsi="Times New Roman"/>
        </w:rPr>
        <w:t xml:space="preserve">. For the thematic evolution, the corpus was split into five periods, the 50 most frequent keywords of each period were clustered in the same way, and clusters of consecutive periods were linked when their inclusion index reached 0.1 </w:t>
      </w:r>
      <w:r>
        <w:rPr>
          <w:rFonts w:ascii="Times New Roman" w:cs="Times New Roman" w:eastAsia="Times New Roman" w:hAnsi="Times New Roman"/>
          <w:color w:val="ED7D31"/>
        </w:rPr>
        <w:t xml:space="preserve">(Cobo et al., 2011)</w:t>
      </w:r>
      <w:r>
        <w:rPr>
          <w:rFonts w:ascii="Times New Roman" w:cs="Times New Roman" w:eastAsia="Times New Roman" w:hAnsi="Times New Roman"/>
        </w:rPr>
        <w:t xml:space="preserve">. Emerging keywords have the highest ratio of their share in the two latest years to their share in 2015-2019.</w:t>
      </w:r>
    </w:p>
    <w:p>
      <w:pPr>
        <w:keepNext/>
        <w:spacing w:after="240" w:before="120"/>
      </w:pPr>
      <w:r>
        <w:rPr>
          <w:rFonts w:ascii="Times New Roman" w:cs="Times New Roman" w:eastAsia="Times New Roman" w:hAnsi="Times New Roman"/>
          <w:b/>
          <w:bCs/>
          <w:sz w:val="24"/>
          <w:szCs w:val="24"/>
        </w:rPr>
        <w:t xml:space="preserve">3.3. Growth Models and Forecasts</w:t>
      </w:r>
    </w:p>
    <w:p>
      <w:pPr>
        <w:spacing w:after="240" w:line="240"/>
        <w:jc w:val="both"/>
      </w:pPr>
      <w:r>
        <w:rPr>
          <w:rFonts w:ascii="Times New Roman" w:cs="Times New Roman" w:eastAsia="Times New Roman" w:hAnsi="Times New Roman"/>
        </w:rPr>
        <w:t xml:space="preserve">Four models were fitted to annual output: exponential, logistic, Gompertz and Bass </w:t>
      </w:r>
      <w:r>
        <w:rPr>
          <w:rFonts w:ascii="Times New Roman" w:cs="Times New Roman" w:eastAsia="Times New Roman" w:hAnsi="Times New Roman"/>
          <w:color w:val="ED7D31"/>
        </w:rPr>
        <w:t xml:space="preserve">(Bass, 1969)</w:t>
      </w:r>
      <w:r>
        <w:rPr>
          <w:rFonts w:ascii="Times New Roman" w:cs="Times New Roman" w:eastAsia="Times New Roman" w:hAnsi="Times New Roman"/>
        </w:rPr>
        <w:t xml:space="preserve">. The logistic model, for example, is</w:t>
      </w:r>
    </w:p>
    <w:p>
      <w:pPr>
        <w:tabs>
          <w:tab w:val="center" w:pos="4536"/>
          <w:tab w:val="right" w:pos="9071"/>
        </w:tabs>
        <w:spacing w:after="240" w:before="120"/>
      </w:pPr>
      <w:r>
        <w:rPr>
          <w:rFonts w:ascii="Times New Roman" w:cs="Times New Roman" w:eastAsia="Times New Roman" w:hAnsi="Times New Roman"/>
        </w:rPr>
        <w:tab/>
      </w:r>
      <m:oMath>
        <m:r>
          <m:t>μ</m:t>
        </m:r>
        <m:d>
          <m:dPr/>
          <m:e>
            <m:r>
              <m:t>t</m:t>
            </m:r>
          </m:e>
        </m:d>
        <m:r>
          <m:t>=</m:t>
        </m:r>
        <m:f>
          <m:num>
            <m:r>
              <m:t>K</m:t>
            </m:r>
          </m:num>
          <m:den>
            <m:r>
              <m:t>1+exp</m:t>
            </m:r>
            <m:d>
              <m:dPr/>
              <m:e>
                <m:r>
                  <m:t>−r</m:t>
                </m:r>
                <m:d>
                  <m:dPr/>
                  <m:e>
                    <m:r>
                      <m:t>t−</m:t>
                    </m:r>
                    <m:sSub>
                      <m:sSubPr/>
                      <m:e>
                        <m:r>
                          <m:t>t</m:t>
                        </m:r>
                      </m:e>
                      <m:sub>
                        <m:r>
                          <m:t>m</m:t>
                        </m:r>
                      </m:sub>
                    </m:sSub>
                  </m:e>
                </m:d>
              </m:e>
            </m:d>
          </m:den>
        </m:f>
      </m:oMath>
      <w:r>
        <w:rPr>
          <w:rFonts w:ascii="Times New Roman" w:cs="Times New Roman" w:eastAsia="Times New Roman" w:hAnsi="Times New Roman"/>
        </w:rPr>
        <w:tab/>
        <w:t xml:space="preserve">(2)</w:t>
      </w:r>
    </w:p>
    <w:p>
      <w:pPr>
        <w:spacing w:after="240" w:line="240"/>
        <w:jc w:val="both"/>
      </w:pPr>
      <w:r>
        <w:rPr>
          <w:rFonts w:ascii="Times New Roman" w:cs="Times New Roman" w:eastAsia="Times New Roman" w:hAnsi="Times New Roman"/>
        </w:rPr>
        <w:t xml:space="preserve">with capacity </w:t>
      </w:r>
      <w:r>
        <w:rPr>
          <w:rFonts w:ascii="Times New Roman" w:cs="Times New Roman" w:eastAsia="Times New Roman" w:hAnsi="Times New Roman"/>
          <w:i/>
          <w:iCs/>
        </w:rPr>
        <w:t xml:space="preserve">K</w:t>
      </w:r>
      <w:r>
        <w:rPr>
          <w:rFonts w:ascii="Times New Roman" w:cs="Times New Roman" w:eastAsia="Times New Roman" w:hAnsi="Times New Roman"/>
        </w:rPr>
        <w:t xml:space="preserve">, growth rate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and inflection year </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m</w:t>
      </w:r>
      <w:r>
        <w:rPr>
          <w:rFonts w:ascii="Times New Roman" w:cs="Times New Roman" w:eastAsia="Times New Roman" w:hAnsi="Times New Roman"/>
        </w:rPr>
        <w:t xml:space="preserve">. For the share of the agricultural literature, the same curves model the rate per agricultural article. Parameters minimize the Poisson deviance. The counts are overdispersed, so the models were compared with the quasi-likelihood criterion QAIC</w:t>
      </w:r>
      <w:r>
        <w:rPr>
          <w:rFonts w:ascii="Times New Roman" w:cs="Times New Roman" w:eastAsia="Times New Roman" w:hAnsi="Times New Roman"/>
          <w:vertAlign w:val="subscript"/>
        </w:rPr>
        <w:t xml:space="preserve">c</w:t>
      </w:r>
      <w:r>
        <w:rPr>
          <w:rFonts w:ascii="Times New Roman" w:cs="Times New Roman" w:eastAsia="Times New Roman" w:hAnsi="Times New Roman"/>
        </w:rPr>
        <w:t xml:space="preserve"> and combined with Akaike weights </w:t>
      </w:r>
      <w:r>
        <w:rPr>
          <w:rFonts w:ascii="Times New Roman" w:cs="Times New Roman" w:eastAsia="Times New Roman" w:hAnsi="Times New Roman"/>
          <w:color w:val="ED7D31"/>
        </w:rPr>
        <w:t xml:space="preserve">(Burnham &amp; Anderson, 2002)</w:t>
      </w:r>
      <w:r>
        <w:rPr>
          <w:rFonts w:ascii="Times New Roman" w:cs="Times New Roman" w:eastAsia="Times New Roman" w:hAnsi="Times New Roman"/>
        </w:rPr>
        <w:t xml:space="preserve">. Accuracy was tested by rolling-origin backtesting from 2018, 2020 and 2022 </w:t>
      </w:r>
      <w:r>
        <w:rPr>
          <w:rFonts w:ascii="Times New Roman" w:cs="Times New Roman" w:eastAsia="Times New Roman" w:hAnsi="Times New Roman"/>
          <w:color w:val="ED7D31"/>
        </w:rPr>
        <w:t xml:space="preserve">(Hyndman &amp; Koehler, 2006)</w:t>
      </w:r>
      <w:r>
        <w:rPr>
          <w:rFonts w:ascii="Times New Roman" w:cs="Times New Roman" w:eastAsia="Times New Roman" w:hAnsi="Times New Roman"/>
        </w:rPr>
        <w:t xml:space="preserve">, and forecast intervals come from a negative-binomial bootstrap with 1,000 replicates. The data and the MATLAB code are openly archived </w:t>
      </w:r>
      <w:r>
        <w:rPr>
          <w:rFonts w:ascii="Times New Roman" w:cs="Times New Roman" w:eastAsia="Times New Roman" w:hAnsi="Times New Roman"/>
          <w:color w:val="ED7D31"/>
        </w:rPr>
        <w:t xml:space="preserve">(Uroš &amp; Jelić, 2026)</w:t>
      </w:r>
      <w:r>
        <w:rPr>
          <w:rFonts w:ascii="Times New Roman" w:cs="Times New Roman" w:eastAsia="Times New Roman" w:hAnsi="Times New Roman"/>
        </w:rPr>
        <w:t xml:space="preserve">.</w:t>
      </w:r>
    </w:p>
    <w:p>
      <w:pPr>
        <w:keepNext/>
        <w:spacing w:after="240" w:before="240"/>
      </w:pPr>
      <w:r>
        <w:rPr>
          <w:rFonts w:ascii="Times New Roman" w:cs="Times New Roman" w:eastAsia="Times New Roman" w:hAnsi="Times New Roman"/>
          <w:b/>
          <w:bCs/>
          <w:sz w:val="24"/>
          <w:szCs w:val="24"/>
        </w:rPr>
        <w:t xml:space="preserve">4. RESULTS</w:t>
      </w:r>
    </w:p>
    <w:p>
      <w:pPr>
        <w:keepNext/>
        <w:spacing w:after="240" w:before="120"/>
      </w:pPr>
      <w:r>
        <w:rPr>
          <w:rFonts w:ascii="Times New Roman" w:cs="Times New Roman" w:eastAsia="Times New Roman" w:hAnsi="Times New Roman"/>
          <w:b/>
          <w:bCs/>
          <w:sz w:val="24"/>
          <w:szCs w:val="24"/>
        </w:rPr>
        <w:t xml:space="preserve">4.1. Growth of the Field and Application Sub-Domains</w:t>
      </w:r>
    </w:p>
    <w:p>
      <w:pPr>
        <w:spacing w:after="240" w:line="240"/>
        <w:jc w:val="both"/>
      </w:pPr>
      <w:r>
        <w:rPr>
          <w:rFonts w:ascii="Times New Roman" w:cs="Times New Roman" w:eastAsia="Times New Roman" w:hAnsi="Times New Roman"/>
        </w:rPr>
        <w:t xml:space="preserve">Research output rose from 29 articles in 2005 to 4,381 in 2025, 18,506 articles in total (Figure 1a). The compound annual growth rate was 28.5 percent, and a segmented regression places a structural break in 2009, when growth accelerated from 16 to 32 percent per year. This matches the arrival of low-cost multirotor platforms </w:t>
      </w:r>
      <w:r>
        <w:rPr>
          <w:rFonts w:ascii="Times New Roman" w:cs="Times New Roman" w:eastAsia="Times New Roman" w:hAnsi="Times New Roman"/>
          <w:color w:val="ED7D31"/>
        </w:rPr>
        <w:t xml:space="preserve">(Rejeb et al., 2022)</w:t>
      </w:r>
      <w:r>
        <w:rPr>
          <w:rFonts w:ascii="Times New Roman" w:cs="Times New Roman" w:eastAsia="Times New Roman" w:hAnsi="Times New Roman"/>
        </w:rPr>
        <w:t xml:space="preserve">. Normalized by the agricultural literature, the share of drone studies rose from 0.21 to 8.5 articles per 1,000 (Figure 1b). China, the United States and India lead 164 contributing countries, and Croatia contributed 34 articles, ten of them in 2025.</w:t>
      </w:r>
    </w:p>
    <w:p>
      <w:pPr>
        <w:keepNext/>
        <w:spacing w:after="60" w:before="120"/>
        <w:jc w:val="center"/>
      </w:pPr>
      <w:r>
        <w:drawing>
          <wp:inline distT="0" distB="0" distL="0" distR="0">
            <wp:extent cx="5581650" cy="2505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50507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Annual output of agricultural drone research (a) and its share of the agricultural literature (b), with fitted growth models and forecasts to 2035</w:t>
      </w:r>
    </w:p>
    <w:p>
      <w:pPr>
        <w:spacing w:after="24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Figure 2 shows how seven application sub-domains penetrate the field. Crop monitoring and phenotyping is the largest: about one in four drone articles in 2025 deals with it. Spraying keeps a stable share of 160-185 per 1,000 articles. Irrigation and disease detection show the clearest upward trends, with shares that roughly doubled after 2019. Yield prediction grew fastest in absolute terms, by 51 percent per year since 2015, while weed detection and livestock lost relative weight. Penetration curves normalized by the host literature of each sub-domain are analyzed in a companion paper </w:t>
      </w:r>
      <w:r>
        <w:rPr>
          <w:rFonts w:ascii="Times New Roman" w:cs="Times New Roman" w:eastAsia="Times New Roman" w:hAnsi="Times New Roman"/>
          <w:color w:val="ED7D31"/>
        </w:rPr>
        <w:t xml:space="preserve">(Jelić et al., In Press-b)</w:t>
      </w:r>
      <w:r>
        <w:rPr>
          <w:rFonts w:ascii="Times New Roman" w:cs="Times New Roman" w:eastAsia="Times New Roman" w:hAnsi="Times New Roman"/>
        </w:rPr>
        <w:t xml:space="preserve">.</w:t>
      </w:r>
    </w:p>
    <w:p>
      <w:pPr>
        <w:keepNext/>
        <w:spacing w:after="60" w:before="120"/>
        <w:jc w:val="center"/>
      </w:pPr>
      <w:r>
        <w:drawing>
          <wp:inline distT="0" distB="0" distL="0" distR="0">
            <wp:extent cx="5581650" cy="21431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4312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Penetration of seven application sub-domains, articles per 1,000 agricultural drone articles, 2010-2025 (compound annual growth 2015-2025 in brackets)</w:t>
      </w:r>
    </w:p>
    <w:p>
      <w:pPr>
        <w:spacing w:after="240"/>
        <w:jc w:val="center"/>
      </w:pPr>
      <w:r>
        <w:rPr>
          <w:rFonts w:ascii="Times New Roman" w:cs="Times New Roman" w:eastAsia="Times New Roman" w:hAnsi="Times New Roman"/>
          <w:sz w:val="20"/>
          <w:szCs w:val="20"/>
        </w:rPr>
        <w:t xml:space="preserve">Source: Own calculations based on OpenAlex data</w:t>
      </w:r>
    </w:p>
    <w:p>
      <w:pPr>
        <w:keepNext/>
        <w:spacing w:after="240" w:before="120"/>
      </w:pPr>
      <w:r>
        <w:rPr>
          <w:rFonts w:ascii="Times New Roman" w:cs="Times New Roman" w:eastAsia="Times New Roman" w:hAnsi="Times New Roman"/>
          <w:b/>
          <w:bCs/>
          <w:sz w:val="24"/>
          <w:szCs w:val="24"/>
        </w:rPr>
        <w:t xml:space="preserve">4.2. Keyword Structure</w:t>
      </w:r>
    </w:p>
    <w:p>
      <w:pPr>
        <w:spacing w:after="240" w:line="240"/>
        <w:jc w:val="both"/>
      </w:pPr>
      <w:r>
        <w:rPr>
          <w:rFonts w:ascii="Times New Roman" w:cs="Times New Roman" w:eastAsia="Times New Roman" w:hAnsi="Times New Roman"/>
        </w:rPr>
        <w:t xml:space="preserve">The co-occurrence network (Figure 3) contains 1,266 links between the 60 most frequent keywords and divides into five themes. The largest, spectral monitoring and phenotyping, groups vegetation indices, NDVI, multispectral imagery, leaf area index and random forest models with major crops (maize, wheat, rice, soybean) and with yield prediction. It is the methodological core of the field. Smart farming links crop monitoring with the Internet of Things, artificial intelligence, sustainability, food security and smallholder farmers, which is the managerial view of the field. Computer vision joins convolutional neural networks, object and small object detection, semantic segmentation and transfer learning with weed and plant disease detection and with edge computing. Spraying and flight operations links pesticide application and crop protection with flight altitude and quadrotor platforms, and it also holds precision agriculture, the hub that connects all themes. The smallest theme, imaging sensors, groups multispectral, hyperspectral and thermal imaging with LiDAR.</w:t>
      </w:r>
    </w:p>
    <w:p>
      <w:pPr>
        <w:keepNext/>
        <w:spacing w:after="60" w:before="120"/>
        <w:jc w:val="center"/>
      </w:pPr>
      <w:r>
        <w:drawing>
          <wp:inline distT="0" distB="0" distL="0" distR="0">
            <wp:extent cx="5038725" cy="30861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086100"/>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Keyword co-occurrence network of agricultural drone research, 60 most frequent keywords; node size shows frequency, color shows the Louvain cluster</w:t>
      </w:r>
    </w:p>
    <w:p>
      <w:pPr>
        <w:spacing w:after="240"/>
        <w:jc w:val="center"/>
      </w:pPr>
      <w:r>
        <w:rPr>
          <w:rFonts w:ascii="Times New Roman" w:cs="Times New Roman" w:eastAsia="Times New Roman" w:hAnsi="Times New Roman"/>
          <w:sz w:val="20"/>
          <w:szCs w:val="20"/>
        </w:rPr>
        <w:t xml:space="preserve">Source: Own calculations based on OpenAlex data</w:t>
      </w:r>
    </w:p>
    <w:p>
      <w:pPr>
        <w:keepNext/>
        <w:spacing w:after="240" w:before="120"/>
      </w:pPr>
      <w:r>
        <w:rPr>
          <w:rFonts w:ascii="Times New Roman" w:cs="Times New Roman" w:eastAsia="Times New Roman" w:hAnsi="Times New Roman"/>
          <w:b/>
          <w:bCs/>
          <w:sz w:val="24"/>
          <w:szCs w:val="24"/>
        </w:rPr>
        <w:t xml:space="preserve">4.3. Thematic Evolution and Emerging Topics</w:t>
      </w:r>
    </w:p>
    <w:p>
      <w:pPr>
        <w:spacing w:after="240" w:line="240"/>
        <w:jc w:val="both"/>
      </w:pPr>
      <w:r>
        <w:rPr>
          <w:rFonts w:ascii="Times New Roman" w:cs="Times New Roman" w:eastAsia="Times New Roman" w:hAnsi="Times New Roman"/>
        </w:rPr>
        <w:t xml:space="preserve">Figure 4 follows the themes through five periods. Until 2014, one broad theme of crop monitoring with vegetation indices dominated, next to small agronomic clusters and image stitching. Between 2015 and 2019 the field differentiated into vegetation indices, multispectral imagery, structure from motion and weed detection. In 2020-2022, convolutional neural networks and object detection formed a distinct theme for the first time. Since 2023, machine learning has merged with plant disease detection. In 2025-2026, the smart-farming cluster around the Internet of Things and crop monitoring holds almost half of all keyword occurrences, plant disease detection with convolutional neural networks has become the third largest theme, and LiDAR with hyperspectral imaging appears as a separate sensor theme.</w:t>
      </w:r>
    </w:p>
    <w:p>
      <w:pPr>
        <w:keepNext/>
        <w:spacing w:after="60" w:before="120"/>
        <w:jc w:val="center"/>
      </w:pPr>
      <w:r>
        <w:drawing>
          <wp:inline distT="0" distB="0" distL="0" distR="0">
            <wp:extent cx="5219700" cy="28670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9700" cy="286702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Thematic evolution of keyword clusters across five periods; box height shows the share of keyword occurrences in the period, bands show shared keywords</w:t>
      </w:r>
    </w:p>
    <w:p>
      <w:pPr>
        <w:spacing w:after="240"/>
        <w:jc w:val="center"/>
      </w:pPr>
      <w:r>
        <w:rPr>
          <w:rFonts w:ascii="Times New Roman" w:cs="Times New Roman" w:eastAsia="Times New Roman" w:hAnsi="Times New Roman"/>
          <w:sz w:val="20"/>
          <w:szCs w:val="20"/>
        </w:rPr>
        <w:t xml:space="preserve">Source: Own calculations based on OpenAlex data</w:t>
      </w:r>
    </w:p>
    <w:p>
      <w:pPr>
        <w:spacing w:after="240" w:line="240"/>
        <w:jc w:val="both"/>
      </w:pPr>
      <w:r>
        <w:rPr>
          <w:rFonts w:ascii="Times New Roman" w:cs="Times New Roman" w:eastAsia="Times New Roman" w:hAnsi="Times New Roman"/>
        </w:rPr>
        <w:t xml:space="preserve">The heatmap (Figure 5) shows the latest shift year by year. Vegetation indices, NDVI and crop monitoring have lost share since 2021, while the Internet of Things, food security and sustainable agriculture kept rising. The fastest risers are recent detection architectures (YOLOv8 and YOLOv11), lightweight and small object detection, XGBoost, edge computing, digital twins and explainable AI. The rise of technology adoption barriers shows that the economic side of drone use is entering the research agenda.</w:t>
      </w:r>
    </w:p>
    <w:p>
      <w:pPr>
        <w:keepNext/>
        <w:spacing w:after="60" w:before="120"/>
        <w:jc w:val="center"/>
      </w:pPr>
      <w:r>
        <w:drawing>
          <wp:inline distT="0" distB="0" distL="0" distR="0">
            <wp:extent cx="4857750" cy="27717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71775"/>
                    </a:xfrm>
                    <a:prstGeom prst="rect">
                      <a:avLst/>
                    </a:prstGeom>
                  </pic:spPr>
                </pic:pic>
              </a:graphicData>
            </a:graphic>
          </wp:inline>
        </w:drawing>
      </w:r>
    </w:p>
    <w:p>
      <w:pPr>
        <w:keepNext/>
        <w:spacing w:after="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Established and emerging (*) keywords, articles per 1,000 agricultural drone articles per year (2026: January-October); color is scaled to the maximum of each row</w:t>
      </w:r>
    </w:p>
    <w:p>
      <w:pPr>
        <w:spacing w:after="240"/>
        <w:jc w:val="center"/>
      </w:pPr>
      <w:r>
        <w:rPr>
          <w:rFonts w:ascii="Times New Roman" w:cs="Times New Roman" w:eastAsia="Times New Roman" w:hAnsi="Times New Roman"/>
          <w:sz w:val="20"/>
          <w:szCs w:val="20"/>
        </w:rPr>
        <w:t xml:space="preserve">Source: Own calculations based on OpenAlex data</w:t>
      </w:r>
    </w:p>
    <w:p>
      <w:pPr>
        <w:keepNext/>
        <w:spacing w:after="240" w:before="120"/>
      </w:pPr>
      <w:r>
        <w:rPr>
          <w:rFonts w:ascii="Times New Roman" w:cs="Times New Roman" w:eastAsia="Times New Roman" w:hAnsi="Times New Roman"/>
          <w:b/>
          <w:bCs/>
          <w:sz w:val="24"/>
          <w:szCs w:val="24"/>
        </w:rPr>
        <w:t xml:space="preserve">4.4. Growth Forecasts to 2035</w:t>
      </w:r>
    </w:p>
    <w:p>
      <w:pPr>
        <w:spacing w:after="240" w:line="240"/>
        <w:jc w:val="both"/>
      </w:pPr>
      <w:r>
        <w:rPr>
          <w:rFonts w:ascii="Times New Roman" w:cs="Times New Roman" w:eastAsia="Times New Roman" w:hAnsi="Times New Roman"/>
        </w:rPr>
        <w:t xml:space="preserve">For annual output, no model dominates. The exponential model has the largest QAIC</w:t>
      </w:r>
      <w:r>
        <w:rPr>
          <w:rFonts w:ascii="Times New Roman" w:cs="Times New Roman" w:eastAsia="Times New Roman" w:hAnsi="Times New Roman"/>
          <w:vertAlign w:val="subscript"/>
        </w:rPr>
        <w:t xml:space="preserve">c</w:t>
      </w:r>
      <w:r>
        <w:rPr>
          <w:rFonts w:ascii="Times New Roman" w:cs="Times New Roman" w:eastAsia="Times New Roman" w:hAnsi="Times New Roman"/>
        </w:rPr>
        <w:t xml:space="preserve"> weight (0.39), followed by Gompertz (0.29), logistic (0.16) and Bass (0.15). Backtesting errors from the latest origin (2022) were 11-26 percent, against 32-44 percent from earlier origins, so the reliable horizon is about three years. The models agree on 2028 and diverge afterwards (Table 1). The share analysis, however, rejects the exponential path. The logistic model dominates the share (weight 0.91) and gives a plateau of 13.8 articles per 1,000 agricultural articles, with the inflection in 2023-2024. The observed share in 2025 is 62 percent of this plateau. The long-horizon forecast is therefore the average of the three saturating models, 24,023 articles in 2035.</w:t>
      </w:r>
    </w:p>
    <w:p>
      <w:pPr>
        <w:keepNext/>
        <w:spacing w:after="120" w:before="12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Forecast annual output and 90 percent bootstrap intervals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14"/>
        <w:gridCol w:w="1814"/>
        <w:gridCol w:w="1814"/>
        <w:gridCol w:w="1814"/>
        <w:gridCol w:w="1814"/>
      </w:tblGrid>
      <w:tr>
        <w:trPr>
          <w:tblHeader/>
        </w:trP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Model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2028</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2032</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20"/>
                <w:szCs w:val="20"/>
              </w:rPr>
              <w:t xml:space="preserve">2035</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Exponential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8,850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14,660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24,290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51,810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Logistic</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7,258</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9,977</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12,770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16,320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Gompertz</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7,783</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11,910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17,960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32,460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Bass</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7,304</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9,871</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11,950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12,380</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Model average</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8,237</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13,069</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20,534</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40,261</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90 % interval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6,422-9,457</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8,523-15,673</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10,910-25,949</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14,213-55,954</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Saturating average</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7,505</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10,874</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15,250</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20"/>
                <w:szCs w:val="20"/>
              </w:rPr>
              <w:t xml:space="preserve">24,023</w:t>
            </w:r>
          </w:p>
        </w:tc>
      </w:tr>
      <w:tr>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90 % interval</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5,660-9,183</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6,775-15,191</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7,159-25,087</w:t>
            </w:r>
          </w:p>
        </w:tc>
        <w:tc>
          <w:tcPr>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jc w:val="left"/>
            </w:pPr>
            <w:r>
              <w:rPr>
                <w:rFonts w:ascii="Times New Roman" w:cs="Times New Roman" w:eastAsia="Times New Roman" w:hAnsi="Times New Roman"/>
                <w:sz w:val="20"/>
                <w:szCs w:val="20"/>
              </w:rPr>
              <w:t xml:space="preserve">6,570-52,895</w:t>
            </w:r>
          </w:p>
        </w:tc>
      </w:tr>
    </w:tbl>
    <w:p>
      <w:pPr>
        <w:spacing w:after="240" w:before="60"/>
        <w:jc w:val="center"/>
      </w:pPr>
      <w:r>
        <w:rPr>
          <w:rFonts w:ascii="Times New Roman" w:cs="Times New Roman" w:eastAsia="Times New Roman" w:hAnsi="Times New Roman"/>
          <w:sz w:val="20"/>
          <w:szCs w:val="20"/>
        </w:rPr>
        <w:t xml:space="preserve">Source: Own calculations</w:t>
      </w:r>
    </w:p>
    <w:p>
      <w:pPr>
        <w:spacing w:after="240" w:line="240"/>
        <w:jc w:val="both"/>
      </w:pPr>
      <w:r>
        <w:rPr>
          <w:rFonts w:ascii="Times New Roman" w:cs="Times New Roman" w:eastAsia="Times New Roman" w:hAnsi="Times New Roman"/>
        </w:rPr>
        <w:t xml:space="preserve">The saturating shape is robust, but its level is provisional. Without the 2025 observation, which is partly an indexing artifact, the plateau falls to 11.6 per 1,000, and under broader denominators the field sits at 38-42 percent of its plateau. All variants place agricultural drone research on the steep part of its adoption curve.</w:t>
      </w:r>
    </w:p>
    <w:p>
      <w:pPr>
        <w:keepNext/>
        <w:spacing w:after="240" w:before="240"/>
      </w:pPr>
      <w:r>
        <w:rPr>
          <w:rFonts w:ascii="Times New Roman" w:cs="Times New Roman" w:eastAsia="Times New Roman" w:hAnsi="Times New Roman"/>
          <w:b/>
          <w:bCs/>
          <w:sz w:val="24"/>
          <w:szCs w:val="24"/>
        </w:rPr>
        <w:t xml:space="preserve">5. DISCUSSION</w:t>
      </w:r>
    </w:p>
    <w:p>
      <w:pPr>
        <w:spacing w:after="240" w:line="240"/>
        <w:jc w:val="both"/>
      </w:pPr>
      <w:r>
        <w:rPr>
          <w:rFonts w:ascii="Times New Roman" w:cs="Times New Roman" w:eastAsia="Times New Roman" w:hAnsi="Times New Roman"/>
        </w:rPr>
        <w:t xml:space="preserve">The results lead to three conclusions for practice. First, the field is still growing fast, but it has passed its inflection point. If the agricultural literature keeps growing at 4.7 percent per year, the share forecast implies 13,000-38,800 articles in 2035, which brackets the saturating average. The near future is growth at a slowing rate, not an endless exponential.</w:t>
      </w:r>
    </w:p>
    <w:p>
      <w:pPr>
        <w:spacing w:after="240" w:line="240"/>
        <w:jc w:val="both"/>
      </w:pPr>
      <w:r>
        <w:rPr>
          <w:rFonts w:ascii="Times New Roman" w:cs="Times New Roman" w:eastAsia="Times New Roman" w:hAnsi="Times New Roman"/>
        </w:rPr>
        <w:t xml:space="preserve">Second, research is moving from mapping to prediction and detection. For agribusiness, the value of a drone lies less in the aircraft and more in the analytics that turn images into decisions. Service models that combine flights, trained models and agronomic advice are likely to capture this value, especially for small farms that cannot justify their own equipment </w:t>
      </w:r>
      <w:r>
        <w:rPr>
          <w:rFonts w:ascii="Times New Roman" w:cs="Times New Roman" w:eastAsia="Times New Roman" w:hAnsi="Times New Roman"/>
          <w:color w:val="ED7D31"/>
        </w:rPr>
        <w:t xml:space="preserve">(Hunt &amp; Daughtry, 2018)</w:t>
      </w:r>
      <w:r>
        <w:rPr>
          <w:rFonts w:ascii="Times New Roman" w:cs="Times New Roman" w:eastAsia="Times New Roman" w:hAnsi="Times New Roman"/>
        </w:rPr>
        <w:t xml:space="preserve">. Edge computing and lightweight detection models point to real-time decisions in the field.</w:t>
      </w:r>
    </w:p>
    <w:p>
      <w:pPr>
        <w:spacing w:after="240" w:line="240"/>
        <w:jc w:val="both"/>
      </w:pPr>
      <w:r>
        <w:rPr>
          <w:rFonts w:ascii="Times New Roman" w:cs="Times New Roman" w:eastAsia="Times New Roman" w:hAnsi="Times New Roman"/>
        </w:rPr>
        <w:t xml:space="preserve">Third, regulation shapes where growth can go. Spraying accounts for about one in six drone articles and dominates commercial use in East Asia </w:t>
      </w:r>
      <w:r>
        <w:rPr>
          <w:rFonts w:ascii="Times New Roman" w:cs="Times New Roman" w:eastAsia="Times New Roman" w:hAnsi="Times New Roman"/>
          <w:color w:val="ED7D31"/>
        </w:rPr>
        <w:t xml:space="preserve">(Hu et al., 2022)</w:t>
      </w:r>
      <w:r>
        <w:rPr>
          <w:rFonts w:ascii="Times New Roman" w:cs="Times New Roman" w:eastAsia="Times New Roman" w:hAnsi="Times New Roman"/>
        </w:rPr>
        <w:t xml:space="preserve">. In the European Union it requires a derogation </w:t>
      </w:r>
      <w:r>
        <w:rPr>
          <w:rFonts w:ascii="Times New Roman" w:cs="Times New Roman" w:eastAsia="Times New Roman" w:hAnsi="Times New Roman"/>
          <w:color w:val="ED7D31"/>
        </w:rPr>
        <w:t xml:space="preserve">(Directive 2009/128/EC, 2009)</w:t>
      </w:r>
      <w:r>
        <w:rPr>
          <w:rFonts w:ascii="Times New Roman" w:cs="Times New Roman" w:eastAsia="Times New Roman" w:hAnsi="Times New Roman"/>
        </w:rPr>
        <w:t xml:space="preserve"> and falls into the specific category of drone operations </w:t>
      </w:r>
      <w:r>
        <w:rPr>
          <w:rFonts w:ascii="Times New Roman" w:cs="Times New Roman" w:eastAsia="Times New Roman" w:hAnsi="Times New Roman"/>
          <w:color w:val="ED7D31"/>
        </w:rPr>
        <w:t xml:space="preserve">(Commission Implementing Regulation (EU) 2019/947, 2019)</w:t>
      </w:r>
      <w:r>
        <w:rPr>
          <w:rFonts w:ascii="Times New Roman" w:cs="Times New Roman" w:eastAsia="Times New Roman" w:hAnsi="Times New Roman"/>
        </w:rPr>
        <w:t xml:space="preserve">. European adopters, including Croatian farms, should therefore focus on sensing, such as disease, irrigation and yield monitoring of vineyards and olive groves, where the value per hectare is highest.</w:t>
      </w:r>
    </w:p>
    <w:p>
      <w:pPr>
        <w:spacing w:after="240" w:line="240"/>
        <w:jc w:val="both"/>
      </w:pPr>
      <w:r>
        <w:rPr>
          <w:rFonts w:ascii="Times New Roman" w:cs="Times New Roman" w:eastAsia="Times New Roman" w:hAnsi="Times New Roman"/>
        </w:rPr>
        <w:t xml:space="preserve">The study has four limitations. It relies on one index and one query with a precision of about 61 percent. The 2025 observation is partly an indexing artifact. OpenAlex keywords are assigned automatically and may differ from author keywords. Finally, growth curves cannot anticipate regulatory shocks, such as a European opening towards drone spraying.</w:t>
      </w:r>
    </w:p>
    <w:p>
      <w:pPr>
        <w:keepNext/>
        <w:spacing w:after="240" w:before="240"/>
      </w:pPr>
      <w:r>
        <w:rPr>
          <w:rFonts w:ascii="Times New Roman" w:cs="Times New Roman" w:eastAsia="Times New Roman" w:hAnsi="Times New Roman"/>
          <w:b/>
          <w:bCs/>
          <w:sz w:val="24"/>
          <w:szCs w:val="24"/>
        </w:rPr>
        <w:t xml:space="preserve">6. FUTURE RESEARCH DIRECTIONS</w:t>
      </w:r>
    </w:p>
    <w:p>
      <w:pPr>
        <w:spacing w:after="240" w:line="240"/>
        <w:jc w:val="both"/>
      </w:pPr>
      <w:r>
        <w:rPr>
          <w:rFonts w:ascii="Times New Roman" w:cs="Times New Roman" w:eastAsia="Times New Roman" w:hAnsi="Times New Roman"/>
        </w:rPr>
        <w:t xml:space="preserve">The keyword analysis should be repeated with author keywords from Scopus or Web of Science to test the stability of the themes. Linking publication trends with drone sales, service prices and farm-level adoption data would show whether research leads or follows the market. The rise of computer-vision keywords calls for an analysis of model architectures, including transformers, and of their transfer between crops and regions. Finally, the archived pipeline allows the forecasts to be updated every year.</w:t>
      </w:r>
    </w:p>
    <w:p>
      <w:pPr>
        <w:keepNext/>
        <w:spacing w:after="240" w:before="240"/>
      </w:pPr>
      <w:r>
        <w:rPr>
          <w:rFonts w:ascii="Times New Roman" w:cs="Times New Roman" w:eastAsia="Times New Roman" w:hAnsi="Times New Roman"/>
          <w:b/>
          <w:bCs/>
          <w:sz w:val="24"/>
          <w:szCs w:val="24"/>
        </w:rPr>
        <w:t xml:space="preserve">7. CONCLUSION</w:t>
      </w:r>
    </w:p>
    <w:p>
      <w:pPr>
        <w:spacing w:after="240" w:line="240"/>
        <w:jc w:val="both"/>
      </w:pPr>
      <w:r>
        <w:rPr>
          <w:rFonts w:ascii="Times New Roman" w:cs="Times New Roman" w:eastAsia="Times New Roman" w:hAnsi="Times New Roman"/>
        </w:rPr>
        <w:t xml:space="preserve">Research on agricultural drones grew by 28.5 percent per year between 2005 and 2025. The field is organized around five themes: spectral monitoring and phenotyping, smart farming, computer vision, spraying and flight operations, and imaging sensors. Its focus is moving from vegetation indices towards deep learning, object detection and disease monitoring, while economic topics such as adoption barriers are emerging. The share of drone studies in the agricultural literature approaches a plateau of about 14 per 1,000 articles, 62 percent of which has been reached, and the saturating models forecast about 24,000 articles in 2035. For managers and policy makers, the next decade of value creation lies in analytics, services and regulation-compatible sensing rather than in the aircraft itself.</w:t>
      </w:r>
    </w:p>
    <w:p>
      <w:pPr>
        <w:keepNext/>
        <w:spacing w:after="240" w:before="240"/>
      </w:pPr>
      <w:r>
        <w:rPr>
          <w:rFonts w:ascii="Times New Roman" w:cs="Times New Roman" w:eastAsia="Times New Roman" w:hAnsi="Times New Roman"/>
          <w:b/>
          <w:bCs/>
          <w:sz w:val="24"/>
          <w:szCs w:val="24"/>
        </w:rPr>
        <w:t xml:space="preserve">Acknowledgment</w:t>
      </w:r>
    </w:p>
    <w:p>
      <w:pPr>
        <w:spacing w:after="240" w:line="240"/>
        <w:jc w:val="both"/>
      </w:pPr>
      <w:r>
        <w:rPr>
          <w:rFonts w:ascii="Times New Roman" w:cs="Times New Roman" w:eastAsia="Times New Roman" w:hAnsi="Times New Roman"/>
        </w:rPr>
        <w:t xml:space="preserve">The authors used generative AI tools (Anthropic Claude) for data retrieval scripting, statistical code generation and language editing. All analyses were executed and verified by the authors, who take full responsibility for the content.</w:t>
      </w:r>
    </w:p>
    <w:p>
      <w:pPr>
        <w:keepNext/>
        <w:spacing w:after="240" w:before="240"/>
      </w:pPr>
      <w:r>
        <w:rPr>
          <w:rFonts w:ascii="Times New Roman" w:cs="Times New Roman" w:eastAsia="Times New Roman" w:hAnsi="Times New Roman"/>
          <w:b/>
          <w:bCs/>
          <w:sz w:val="24"/>
          <w:szCs w:val="24"/>
        </w:rPr>
        <w:t xml:space="preserve">References</w:t>
      </w:r>
    </w:p>
    <w:p>
      <w:pPr>
        <w:spacing w:after="40"/>
        <w:ind w:left="567" w:hanging="567"/>
        <w:jc w:val="left"/>
      </w:pPr>
      <w:r>
        <w:rPr>
          <w:rFonts w:ascii="Times New Roman" w:cs="Times New Roman" w:eastAsia="Times New Roman" w:hAnsi="Times New Roman"/>
        </w:rPr>
        <w:t xml:space="preserve">Aria, M., &amp; Cuccurullo, C. (2017). bibliometrix: An R-tool for comprehensive science mapping analysis. </w:t>
      </w:r>
      <w:r>
        <w:rPr>
          <w:rFonts w:ascii="Times New Roman" w:cs="Times New Roman" w:eastAsia="Times New Roman" w:hAnsi="Times New Roman"/>
          <w:i/>
          <w:iCs/>
        </w:rPr>
        <w:t xml:space="preserve">Journal of Informetrics, 11</w:t>
      </w:r>
      <w:r>
        <w:rPr>
          <w:rFonts w:ascii="Times New Roman" w:cs="Times New Roman" w:eastAsia="Times New Roman" w:hAnsi="Times New Roman"/>
        </w:rPr>
        <w:t xml:space="preserve">(4), 959-975. https://doi.org/10.1016/j.joi.2017.08.007</w:t>
      </w:r>
    </w:p>
    <w:p>
      <w:pPr>
        <w:spacing w:after="40"/>
        <w:ind w:left="567" w:hanging="567"/>
        <w:jc w:val="left"/>
      </w:pPr>
      <w:r>
        <w:rPr>
          <w:rFonts w:ascii="Times New Roman" w:cs="Times New Roman" w:eastAsia="Times New Roman" w:hAnsi="Times New Roman"/>
        </w:rPr>
        <w:t xml:space="preserve">Bass, F. M. (1969). A new product growth for model consumer durables. </w:t>
      </w:r>
      <w:r>
        <w:rPr>
          <w:rFonts w:ascii="Times New Roman" w:cs="Times New Roman" w:eastAsia="Times New Roman" w:hAnsi="Times New Roman"/>
          <w:i/>
          <w:iCs/>
        </w:rPr>
        <w:t xml:space="preserve">Management Science, 15</w:t>
      </w:r>
      <w:r>
        <w:rPr>
          <w:rFonts w:ascii="Times New Roman" w:cs="Times New Roman" w:eastAsia="Times New Roman" w:hAnsi="Times New Roman"/>
        </w:rPr>
        <w:t xml:space="preserve">(5), 215-227. https://doi.org/10.1287/mnsc.15.5.215</w:t>
      </w:r>
    </w:p>
    <w:p>
      <w:pPr>
        <w:spacing w:after="40"/>
        <w:ind w:left="567" w:hanging="567"/>
        <w:jc w:val="left"/>
      </w:pPr>
      <w:r>
        <w:rPr>
          <w:rFonts w:ascii="Times New Roman" w:cs="Times New Roman" w:eastAsia="Times New Roman" w:hAnsi="Times New Roman"/>
        </w:rPr>
        <w:t xml:space="preserve">Blondel, V. D., Guillaume, J.-L., Lambiotte, R., &amp; Lefebvre, E. (2008). Fast unfolding of communities in large networks. </w:t>
      </w:r>
      <w:r>
        <w:rPr>
          <w:rFonts w:ascii="Times New Roman" w:cs="Times New Roman" w:eastAsia="Times New Roman" w:hAnsi="Times New Roman"/>
          <w:i/>
          <w:iCs/>
        </w:rPr>
        <w:t xml:space="preserve">Journal of Statistical Mechanics: Theory and Experiment, 2008</w:t>
      </w:r>
      <w:r>
        <w:rPr>
          <w:rFonts w:ascii="Times New Roman" w:cs="Times New Roman" w:eastAsia="Times New Roman" w:hAnsi="Times New Roman"/>
        </w:rPr>
        <w:t xml:space="preserve">(10), P10008. https://doi.org/10.1088/1742-5468/2008/10/P10008</w:t>
      </w:r>
    </w:p>
    <w:p>
      <w:pPr>
        <w:spacing w:after="40"/>
        <w:ind w:left="567" w:hanging="567"/>
        <w:jc w:val="left"/>
      </w:pPr>
      <w:r>
        <w:rPr>
          <w:rFonts w:ascii="Times New Roman" w:cs="Times New Roman" w:eastAsia="Times New Roman" w:hAnsi="Times New Roman"/>
        </w:rPr>
        <w:t xml:space="preserve">Bornmann, L., &amp; Mutz, R. (2015). Growth rates of modern science: A bibliometric analysis based on the number of publications and cited references. </w:t>
      </w:r>
      <w:r>
        <w:rPr>
          <w:rFonts w:ascii="Times New Roman" w:cs="Times New Roman" w:eastAsia="Times New Roman" w:hAnsi="Times New Roman"/>
          <w:i/>
          <w:iCs/>
        </w:rPr>
        <w:t xml:space="preserve">Journal of the Association for Information Science and Technology, 66</w:t>
      </w:r>
      <w:r>
        <w:rPr>
          <w:rFonts w:ascii="Times New Roman" w:cs="Times New Roman" w:eastAsia="Times New Roman" w:hAnsi="Times New Roman"/>
        </w:rPr>
        <w:t xml:space="preserve">(11), 2215-2222. https://doi.org/10.1002/asi.23329</w:t>
      </w:r>
    </w:p>
    <w:p>
      <w:pPr>
        <w:spacing w:after="40"/>
        <w:ind w:left="567" w:hanging="567"/>
        <w:jc w:val="left"/>
      </w:pPr>
      <w:r>
        <w:rPr>
          <w:rFonts w:ascii="Times New Roman" w:cs="Times New Roman" w:eastAsia="Times New Roman" w:hAnsi="Times New Roman"/>
        </w:rPr>
        <w:t xml:space="preserve">Burnham, K. P., &amp; Anderson, D. R. (2002). </w:t>
      </w:r>
      <w:r>
        <w:rPr>
          <w:rFonts w:ascii="Times New Roman" w:cs="Times New Roman" w:eastAsia="Times New Roman" w:hAnsi="Times New Roman"/>
          <w:i/>
          <w:iCs/>
        </w:rPr>
        <w:t xml:space="preserve">Model selection and multimodel inference: A practical information-theoretic approach</w:t>
      </w:r>
      <w:r>
        <w:rPr>
          <w:rFonts w:ascii="Times New Roman" w:cs="Times New Roman" w:eastAsia="Times New Roman" w:hAnsi="Times New Roman"/>
        </w:rPr>
        <w:t xml:space="preserve"> (2nd ed.). New York, NY: Springer. https://doi.org/10.1007/b97636</w:t>
      </w:r>
    </w:p>
    <w:p>
      <w:pPr>
        <w:spacing w:after="40"/>
        <w:ind w:left="567" w:hanging="567"/>
        <w:jc w:val="left"/>
      </w:pPr>
      <w:r>
        <w:rPr>
          <w:rFonts w:ascii="Times New Roman" w:cs="Times New Roman" w:eastAsia="Times New Roman" w:hAnsi="Times New Roman"/>
        </w:rPr>
        <w:t xml:space="preserve">Cobo, M. J., López-Herrera, A. G., Herrera-Viedma, E., &amp; Herrera, F. (2011). An approach for detecting, quantifying, and visualizing the evolution of a research field: A practical application to the Fuzzy Sets Theory field. </w:t>
      </w:r>
      <w:r>
        <w:rPr>
          <w:rFonts w:ascii="Times New Roman" w:cs="Times New Roman" w:eastAsia="Times New Roman" w:hAnsi="Times New Roman"/>
          <w:i/>
          <w:iCs/>
        </w:rPr>
        <w:t xml:space="preserve">Journal of Informetrics, 5</w:t>
      </w:r>
      <w:r>
        <w:rPr>
          <w:rFonts w:ascii="Times New Roman" w:cs="Times New Roman" w:eastAsia="Times New Roman" w:hAnsi="Times New Roman"/>
        </w:rPr>
        <w:t xml:space="preserve">(1), 146-166. https://doi.org/10.1016/j.joi.2010.10.002</w:t>
      </w:r>
    </w:p>
    <w:p>
      <w:pPr>
        <w:spacing w:after="40"/>
        <w:ind w:left="567" w:hanging="567"/>
        <w:jc w:val="left"/>
      </w:pPr>
      <w:r>
        <w:rPr>
          <w:rFonts w:ascii="Times New Roman" w:cs="Times New Roman" w:eastAsia="Times New Roman" w:hAnsi="Times New Roman"/>
        </w:rPr>
        <w:t xml:space="preserve">Commission Implementing Regulation (EU) 2019/947 of 24 May 2019 on the rules and procedures for the operation of unmanned aircraft. (2019). </w:t>
      </w:r>
      <w:r>
        <w:rPr>
          <w:rFonts w:ascii="Times New Roman" w:cs="Times New Roman" w:eastAsia="Times New Roman" w:hAnsi="Times New Roman"/>
          <w:i/>
          <w:iCs/>
        </w:rPr>
        <w:t xml:space="preserve">Official Journal of the European Union</w:t>
      </w:r>
      <w:r>
        <w:rPr>
          <w:rFonts w:ascii="Times New Roman" w:cs="Times New Roman" w:eastAsia="Times New Roman" w:hAnsi="Times New Roman"/>
        </w:rPr>
        <w:t xml:space="preserve">, L 152, 45-71. http://data.europa.eu/eli/reg_impl/2019/947/oj</w:t>
      </w:r>
    </w:p>
    <w:p>
      <w:pPr>
        <w:spacing w:after="40"/>
        <w:ind w:left="567" w:hanging="567"/>
        <w:jc w:val="left"/>
      </w:pPr>
      <w:r>
        <w:rPr>
          <w:rFonts w:ascii="Times New Roman" w:cs="Times New Roman" w:eastAsia="Times New Roman" w:hAnsi="Times New Roman"/>
        </w:rPr>
        <w:t xml:space="preserve">Directive 2009/128/EC of the European Parliament and of the Council of 21 October 2009 establishing a framework for Community action to achieve the sustainable use of pesticides. (2009). </w:t>
      </w:r>
      <w:r>
        <w:rPr>
          <w:rFonts w:ascii="Times New Roman" w:cs="Times New Roman" w:eastAsia="Times New Roman" w:hAnsi="Times New Roman"/>
          <w:i/>
          <w:iCs/>
        </w:rPr>
        <w:t xml:space="preserve">Official Journal of the European Union</w:t>
      </w:r>
      <w:r>
        <w:rPr>
          <w:rFonts w:ascii="Times New Roman" w:cs="Times New Roman" w:eastAsia="Times New Roman" w:hAnsi="Times New Roman"/>
        </w:rPr>
        <w:t xml:space="preserve">, L 309, 71-86. http://data.europa.eu/eli/dir/2009/128/oj</w:t>
      </w:r>
    </w:p>
    <w:p>
      <w:pPr>
        <w:spacing w:after="40"/>
        <w:ind w:left="567" w:hanging="567"/>
        <w:jc w:val="left"/>
      </w:pPr>
      <w:r>
        <w:rPr>
          <w:rFonts w:ascii="Times New Roman" w:cs="Times New Roman" w:eastAsia="Times New Roman" w:hAnsi="Times New Roman"/>
        </w:rPr>
        <w:t xml:space="preserve">DJI Agriculture. (2025). </w:t>
      </w:r>
      <w:r>
        <w:rPr>
          <w:rFonts w:ascii="Times New Roman" w:cs="Times New Roman" w:eastAsia="Times New Roman" w:hAnsi="Times New Roman"/>
          <w:i/>
          <w:iCs/>
        </w:rPr>
        <w:t xml:space="preserve">DJI Agriculture's annual report reveals drone-powered farming revolution at Brazil's Agrishow 2025</w:t>
      </w:r>
      <w:r>
        <w:rPr>
          <w:rFonts w:ascii="Times New Roman" w:cs="Times New Roman" w:eastAsia="Times New Roman" w:hAnsi="Times New Roman"/>
        </w:rPr>
        <w:t xml:space="preserve"> [Press release]. https://www.mynewsdesk.com/uk/dji/news/dji-agricultures-annual-report-reveals-drone-powered-farming-revolution-at-brazils-agrishow-2025-496808</w:t>
      </w:r>
    </w:p>
    <w:p>
      <w:pPr>
        <w:spacing w:after="40"/>
        <w:ind w:left="567" w:hanging="567"/>
        <w:jc w:val="left"/>
      </w:pPr>
      <w:r>
        <w:rPr>
          <w:rFonts w:ascii="Times New Roman" w:cs="Times New Roman" w:eastAsia="Times New Roman" w:hAnsi="Times New Roman"/>
        </w:rPr>
        <w:t xml:space="preserve">Hafeez, A., Husain, M. A., Singh, S. P., Chauhan, A., Khan, M. T., Kumar, N., Chauhan, A., &amp; Soni, S. K. (2023). Implementation of drone technology for farm monitoring &amp; pesticide spraying: A review. </w:t>
      </w:r>
      <w:r>
        <w:rPr>
          <w:rFonts w:ascii="Times New Roman" w:cs="Times New Roman" w:eastAsia="Times New Roman" w:hAnsi="Times New Roman"/>
          <w:i/>
          <w:iCs/>
        </w:rPr>
        <w:t xml:space="preserve">Information Processing in Agriculture, 10</w:t>
      </w:r>
      <w:r>
        <w:rPr>
          <w:rFonts w:ascii="Times New Roman" w:cs="Times New Roman" w:eastAsia="Times New Roman" w:hAnsi="Times New Roman"/>
        </w:rPr>
        <w:t xml:space="preserve">(2), 192-203. https://doi.org/10.1016/j.inpa.2022.02.002</w:t>
      </w:r>
    </w:p>
    <w:p>
      <w:pPr>
        <w:spacing w:after="40"/>
        <w:ind w:left="567" w:hanging="567"/>
        <w:jc w:val="left"/>
      </w:pPr>
      <w:r>
        <w:rPr>
          <w:rFonts w:ascii="Times New Roman" w:cs="Times New Roman" w:eastAsia="Times New Roman" w:hAnsi="Times New Roman"/>
        </w:rPr>
        <w:t xml:space="preserve">Hu, P., Zhang, R., Yang, J., &amp; Chen, L. (2022). Development status and key technologies of plant protection UAVs in China: A review. </w:t>
      </w:r>
      <w:r>
        <w:rPr>
          <w:rFonts w:ascii="Times New Roman" w:cs="Times New Roman" w:eastAsia="Times New Roman" w:hAnsi="Times New Roman"/>
          <w:i/>
          <w:iCs/>
        </w:rPr>
        <w:t xml:space="preserve">Drones, 6</w:t>
      </w:r>
      <w:r>
        <w:rPr>
          <w:rFonts w:ascii="Times New Roman" w:cs="Times New Roman" w:eastAsia="Times New Roman" w:hAnsi="Times New Roman"/>
        </w:rPr>
        <w:t xml:space="preserve">(11), 354. https://doi.org/10.3390/drones6110354</w:t>
      </w:r>
    </w:p>
    <w:p>
      <w:pPr>
        <w:spacing w:after="40"/>
        <w:ind w:left="567" w:hanging="567"/>
        <w:jc w:val="left"/>
      </w:pPr>
      <w:r>
        <w:rPr>
          <w:rFonts w:ascii="Times New Roman" w:cs="Times New Roman" w:eastAsia="Times New Roman" w:hAnsi="Times New Roman"/>
        </w:rPr>
        <w:t xml:space="preserve">Hunt, E. R., &amp; Daughtry, C. S. T. (2018). What good are unmanned aircraft systems for agricultural remote sensing and precision agriculture? </w:t>
      </w:r>
      <w:r>
        <w:rPr>
          <w:rFonts w:ascii="Times New Roman" w:cs="Times New Roman" w:eastAsia="Times New Roman" w:hAnsi="Times New Roman"/>
          <w:i/>
          <w:iCs/>
        </w:rPr>
        <w:t xml:space="preserve">International Journal of Remote Sensing, 39</w:t>
      </w:r>
      <w:r>
        <w:rPr>
          <w:rFonts w:ascii="Times New Roman" w:cs="Times New Roman" w:eastAsia="Times New Roman" w:hAnsi="Times New Roman"/>
        </w:rPr>
        <w:t xml:space="preserve">(15-16), 5345-5376. https://doi.org/10.1080/01431161.2017.1410300</w:t>
      </w:r>
    </w:p>
    <w:p>
      <w:pPr>
        <w:spacing w:after="40"/>
        <w:ind w:left="567" w:hanging="567"/>
        <w:jc w:val="left"/>
      </w:pPr>
      <w:r>
        <w:rPr>
          <w:rFonts w:ascii="Times New Roman" w:cs="Times New Roman" w:eastAsia="Times New Roman" w:hAnsi="Times New Roman"/>
        </w:rPr>
        <w:t xml:space="preserve">Hyndman, R. J., &amp; Koehler, A. B. (2006). Another look at measures of forecast accuracy. </w:t>
      </w:r>
      <w:r>
        <w:rPr>
          <w:rFonts w:ascii="Times New Roman" w:cs="Times New Roman" w:eastAsia="Times New Roman" w:hAnsi="Times New Roman"/>
          <w:i/>
          <w:iCs/>
        </w:rPr>
        <w:t xml:space="preserve">International Journal of Forecasting, 22</w:t>
      </w:r>
      <w:r>
        <w:rPr>
          <w:rFonts w:ascii="Times New Roman" w:cs="Times New Roman" w:eastAsia="Times New Roman" w:hAnsi="Times New Roman"/>
        </w:rPr>
        <w:t xml:space="preserve">(4), 679-688. https://doi.org/10.1016/j.ijforecast.2006.03.001</w:t>
      </w:r>
    </w:p>
    <w:p>
      <w:pPr>
        <w:spacing w:after="40"/>
        <w:ind w:left="567" w:hanging="567"/>
        <w:jc w:val="left"/>
      </w:pPr>
      <w:r>
        <w:rPr>
          <w:rFonts w:ascii="Times New Roman" w:cs="Times New Roman" w:eastAsia="Times New Roman" w:hAnsi="Times New Roman"/>
        </w:rPr>
        <w:t xml:space="preserve">Jacomy, M., Venturini, T., Heymann, S., &amp; Bastian, M. (2014). ForceAtlas2, a continuous graph layout algorithm for handy network visualization designed for the Gephi software. </w:t>
      </w:r>
      <w:r>
        <w:rPr>
          <w:rFonts w:ascii="Times New Roman" w:cs="Times New Roman" w:eastAsia="Times New Roman" w:hAnsi="Times New Roman"/>
          <w:i/>
          <w:iCs/>
        </w:rPr>
        <w:t xml:space="preserve">PLoS ONE, 9</w:t>
      </w:r>
      <w:r>
        <w:rPr>
          <w:rFonts w:ascii="Times New Roman" w:cs="Times New Roman" w:eastAsia="Times New Roman" w:hAnsi="Times New Roman"/>
        </w:rPr>
        <w:t xml:space="preserve">(6), e98679. https://doi.org/10.1371/journal.pone.0098679</w:t>
      </w:r>
    </w:p>
    <w:p>
      <w:pPr>
        <w:spacing w:after="40"/>
        <w:ind w:left="567" w:hanging="567"/>
        <w:jc w:val="left"/>
      </w:pPr>
      <w:r>
        <w:rPr>
          <w:rFonts w:ascii="Times New Roman" w:cs="Times New Roman" w:eastAsia="Times New Roman" w:hAnsi="Times New Roman"/>
        </w:rPr>
        <w:t xml:space="preserve">Jelić, M., Uroš, V., &amp; Mandinić, S. (In Press-a). Drones in agriculture: Bibliometric state of the art and growth forecasts to 2035. In </w:t>
      </w:r>
      <w:r>
        <w:rPr>
          <w:rFonts w:ascii="Times New Roman" w:cs="Times New Roman" w:eastAsia="Times New Roman" w:hAnsi="Times New Roman"/>
          <w:i/>
          <w:iCs/>
        </w:rPr>
        <w:t xml:space="preserve">Proceedings of the MIPRO 2026 Convention</w:t>
      </w:r>
      <w:r>
        <w:rPr>
          <w:rFonts w:ascii="Times New Roman" w:cs="Times New Roman" w:eastAsia="Times New Roman" w:hAnsi="Times New Roman"/>
        </w:rPr>
        <w:t xml:space="preserve">. IEEE.</w:t>
      </w:r>
    </w:p>
    <w:p>
      <w:pPr>
        <w:spacing w:after="40"/>
        <w:ind w:left="567" w:hanging="567"/>
        <w:jc w:val="left"/>
      </w:pPr>
      <w:r>
        <w:rPr>
          <w:rFonts w:ascii="Times New Roman" w:cs="Times New Roman" w:eastAsia="Times New Roman" w:hAnsi="Times New Roman"/>
        </w:rPr>
        <w:t xml:space="preserve">Jelić, M., Uroš, V., &amp; Mandinić, S. (In Press-b). Bibliometric penetration curves and growth forecasts to 2035 for unmanned aerial vehicles in seven agricultural sub-domains. </w:t>
      </w:r>
      <w:r>
        <w:rPr>
          <w:rFonts w:ascii="Times New Roman" w:cs="Times New Roman" w:eastAsia="Times New Roman" w:hAnsi="Times New Roman"/>
          <w:i/>
          <w:iCs/>
        </w:rPr>
        <w:t xml:space="preserve">Radovi Poljoprivredno-prehrambenog fakulteta Univerziteta u Sarajevu (Works of the Faculty of Agriculture and Food Sciences, University of Sarajevo)</w:t>
      </w:r>
      <w:r>
        <w:rPr>
          <w:rFonts w:ascii="Times New Roman" w:cs="Times New Roman" w:eastAsia="Times New Roman" w:hAnsi="Times New Roman"/>
        </w:rPr>
        <w:t xml:space="preserve">.</w:t>
      </w:r>
    </w:p>
    <w:p>
      <w:pPr>
        <w:spacing w:after="40"/>
        <w:ind w:left="567" w:hanging="567"/>
        <w:jc w:val="left"/>
      </w:pPr>
      <w:r>
        <w:rPr>
          <w:rFonts w:ascii="Times New Roman" w:cs="Times New Roman" w:eastAsia="Times New Roman" w:hAnsi="Times New Roman"/>
        </w:rPr>
        <w:t xml:space="preserve">Maes, W. H., &amp; Steppe, K. (2019). Perspectives for remote sensing with unmanned aerial vehicles in precision agriculture. </w:t>
      </w:r>
      <w:r>
        <w:rPr>
          <w:rFonts w:ascii="Times New Roman" w:cs="Times New Roman" w:eastAsia="Times New Roman" w:hAnsi="Times New Roman"/>
          <w:i/>
          <w:iCs/>
        </w:rPr>
        <w:t xml:space="preserve">Trends in Plant Science, 24</w:t>
      </w:r>
      <w:r>
        <w:rPr>
          <w:rFonts w:ascii="Times New Roman" w:cs="Times New Roman" w:eastAsia="Times New Roman" w:hAnsi="Times New Roman"/>
        </w:rPr>
        <w:t xml:space="preserve">(2), 152-164. https://doi.org/10.1016/j.tplants.2018.11.007</w:t>
      </w:r>
    </w:p>
    <w:p>
      <w:pPr>
        <w:spacing w:after="40"/>
        <w:ind w:left="567" w:hanging="567"/>
        <w:jc w:val="left"/>
      </w:pPr>
      <w:r>
        <w:rPr>
          <w:rFonts w:ascii="Times New Roman" w:cs="Times New Roman" w:eastAsia="Times New Roman" w:hAnsi="Times New Roman"/>
        </w:rPr>
        <w:t xml:space="preserve">Maimaitijiang, M., Sagan, V., Sidike, P., Hartling, S., Esposito, F., &amp; Fritschi, F. B. (2020). Soybean yield prediction from UAV using multimodal data fusion and deep learning. </w:t>
      </w:r>
      <w:r>
        <w:rPr>
          <w:rFonts w:ascii="Times New Roman" w:cs="Times New Roman" w:eastAsia="Times New Roman" w:hAnsi="Times New Roman"/>
          <w:i/>
          <w:iCs/>
        </w:rPr>
        <w:t xml:space="preserve">Remote Sensing of Environment, 237</w:t>
      </w:r>
      <w:r>
        <w:rPr>
          <w:rFonts w:ascii="Times New Roman" w:cs="Times New Roman" w:eastAsia="Times New Roman" w:hAnsi="Times New Roman"/>
        </w:rPr>
        <w:t xml:space="preserve">, 111599. https://doi.org/10.1016/j.rse.2019.111599</w:t>
      </w:r>
    </w:p>
    <w:p>
      <w:pPr>
        <w:spacing w:after="40"/>
        <w:ind w:left="567" w:hanging="567"/>
        <w:jc w:val="left"/>
      </w:pPr>
      <w:r>
        <w:rPr>
          <w:rFonts w:ascii="Times New Roman" w:cs="Times New Roman" w:eastAsia="Times New Roman" w:hAnsi="Times New Roman"/>
        </w:rPr>
        <w:t xml:space="preserve">Meade, N., &amp; Islam, T. (2006). Modelling and forecasting the diffusion of innovation: A 25-year review. </w:t>
      </w:r>
      <w:r>
        <w:rPr>
          <w:rFonts w:ascii="Times New Roman" w:cs="Times New Roman" w:eastAsia="Times New Roman" w:hAnsi="Times New Roman"/>
          <w:i/>
          <w:iCs/>
        </w:rPr>
        <w:t xml:space="preserve">International Journal of Forecasting, 22</w:t>
      </w:r>
      <w:r>
        <w:rPr>
          <w:rFonts w:ascii="Times New Roman" w:cs="Times New Roman" w:eastAsia="Times New Roman" w:hAnsi="Times New Roman"/>
        </w:rPr>
        <w:t xml:space="preserve">(3), 519-545. https://doi.org/10.1016/j.ijforecast.2006.01.005</w:t>
      </w:r>
    </w:p>
    <w:p>
      <w:pPr>
        <w:spacing w:after="40"/>
        <w:ind w:left="567" w:hanging="567"/>
        <w:jc w:val="left"/>
      </w:pPr>
      <w:r>
        <w:rPr>
          <w:rFonts w:ascii="Times New Roman" w:cs="Times New Roman" w:eastAsia="Times New Roman" w:hAnsi="Times New Roman"/>
        </w:rPr>
        <w:t xml:space="preserve">Priem, J., Piwowar, H., &amp; Orr, R. (2022). </w:t>
      </w:r>
      <w:r>
        <w:rPr>
          <w:rFonts w:ascii="Times New Roman" w:cs="Times New Roman" w:eastAsia="Times New Roman" w:hAnsi="Times New Roman"/>
          <w:i/>
          <w:iCs/>
        </w:rPr>
        <w:t xml:space="preserve">OpenAlex: A fully-open index of scholarly works, authors, venues, institutions, and concepts</w:t>
      </w:r>
      <w:r>
        <w:rPr>
          <w:rFonts w:ascii="Times New Roman" w:cs="Times New Roman" w:eastAsia="Times New Roman" w:hAnsi="Times New Roman"/>
        </w:rPr>
        <w:t xml:space="preserve"> (arXiv:2205.01833). arXiv. https://doi.org/10.48550/arXiv.2205.01833</w:t>
      </w:r>
    </w:p>
    <w:p>
      <w:pPr>
        <w:spacing w:after="40"/>
        <w:ind w:left="567" w:hanging="567"/>
        <w:jc w:val="left"/>
      </w:pPr>
      <w:r>
        <w:rPr>
          <w:rFonts w:ascii="Times New Roman" w:cs="Times New Roman" w:eastAsia="Times New Roman" w:hAnsi="Times New Roman"/>
        </w:rPr>
        <w:t xml:space="preserve">Rejeb, A., Abdollahi, A., Rejeb, K., &amp; Treiblmaier, H. (2022). Drones in agriculture: A review and bibliometric analysis. </w:t>
      </w:r>
      <w:r>
        <w:rPr>
          <w:rFonts w:ascii="Times New Roman" w:cs="Times New Roman" w:eastAsia="Times New Roman" w:hAnsi="Times New Roman"/>
          <w:i/>
          <w:iCs/>
        </w:rPr>
        <w:t xml:space="preserve">Computers and Electronics in Agriculture, 198</w:t>
      </w:r>
      <w:r>
        <w:rPr>
          <w:rFonts w:ascii="Times New Roman" w:cs="Times New Roman" w:eastAsia="Times New Roman" w:hAnsi="Times New Roman"/>
        </w:rPr>
        <w:t xml:space="preserve">, 107017. https://doi.org/10.1016/j.compag.2022.107017</w:t>
      </w:r>
    </w:p>
    <w:p>
      <w:pPr>
        <w:spacing w:after="40"/>
        <w:ind w:left="567" w:hanging="567"/>
        <w:jc w:val="left"/>
      </w:pPr>
      <w:r>
        <w:rPr>
          <w:rFonts w:ascii="Times New Roman" w:cs="Times New Roman" w:eastAsia="Times New Roman" w:hAnsi="Times New Roman"/>
        </w:rPr>
        <w:t xml:space="preserve">Shahi, T. B., Xu, C.-Y., Neupane, A., &amp; Guo, W. (2022). Machine learning methods for precision agriculture with UAV imagery: A review. </w:t>
      </w:r>
      <w:r>
        <w:rPr>
          <w:rFonts w:ascii="Times New Roman" w:cs="Times New Roman" w:eastAsia="Times New Roman" w:hAnsi="Times New Roman"/>
          <w:i/>
          <w:iCs/>
        </w:rPr>
        <w:t xml:space="preserve">Electronic Research Archive, 30</w:t>
      </w:r>
      <w:r>
        <w:rPr>
          <w:rFonts w:ascii="Times New Roman" w:cs="Times New Roman" w:eastAsia="Times New Roman" w:hAnsi="Times New Roman"/>
        </w:rPr>
        <w:t xml:space="preserve">(12), 4277-4317. https://doi.org/10.3934/era.2022218</w:t>
      </w:r>
    </w:p>
    <w:p>
      <w:pPr>
        <w:spacing w:after="40"/>
        <w:ind w:left="567" w:hanging="567"/>
        <w:jc w:val="left"/>
      </w:pPr>
      <w:r>
        <w:rPr>
          <w:rFonts w:ascii="Times New Roman" w:cs="Times New Roman" w:eastAsia="Times New Roman" w:hAnsi="Times New Roman"/>
        </w:rPr>
        <w:t xml:space="preserve">Tsouros, D. C., Bibi, S., &amp; Sarigiannidis, P. G. (2019). A review on UAV-based applications for precision agriculture. </w:t>
      </w:r>
      <w:r>
        <w:rPr>
          <w:rFonts w:ascii="Times New Roman" w:cs="Times New Roman" w:eastAsia="Times New Roman" w:hAnsi="Times New Roman"/>
          <w:i/>
          <w:iCs/>
        </w:rPr>
        <w:t xml:space="preserve">Information, 10</w:t>
      </w:r>
      <w:r>
        <w:rPr>
          <w:rFonts w:ascii="Times New Roman" w:cs="Times New Roman" w:eastAsia="Times New Roman" w:hAnsi="Times New Roman"/>
        </w:rPr>
        <w:t xml:space="preserve">(11), 349. https://doi.org/10.3390/info10110349</w:t>
      </w:r>
    </w:p>
    <w:p>
      <w:pPr>
        <w:spacing w:after="40"/>
        <w:ind w:left="567" w:hanging="567"/>
        <w:jc w:val="left"/>
      </w:pPr>
      <w:r>
        <w:rPr>
          <w:rFonts w:ascii="Times New Roman" w:cs="Times New Roman" w:eastAsia="Times New Roman" w:hAnsi="Times New Roman"/>
        </w:rPr>
        <w:t xml:space="preserve">Uroš, V., &amp; Jelić, M. (2026). </w:t>
      </w:r>
      <w:r>
        <w:rPr>
          <w:rFonts w:ascii="Times New Roman" w:cs="Times New Roman" w:eastAsia="Times New Roman" w:hAnsi="Times New Roman"/>
          <w:i/>
          <w:iCs/>
        </w:rPr>
        <w:t xml:space="preserve">drone-agriculture-forecast: Bibliometric data and MATLAB growth-model pipeline for UAV research in agriculture</w:t>
      </w:r>
      <w:r>
        <w:rPr>
          <w:rFonts w:ascii="Times New Roman" w:cs="Times New Roman" w:eastAsia="Times New Roman" w:hAnsi="Times New Roman"/>
        </w:rPr>
        <w:t xml:space="preserve"> (Version v1.1-matlab) [Data set and software]. Zenodo. https://doi.org/10.5281/zenodo.22238128</w:t>
      </w:r>
    </w:p>
    <w:p>
      <w:pPr>
        <w:spacing w:after="40"/>
        <w:ind w:left="567" w:hanging="567"/>
        <w:jc w:val="left"/>
      </w:pPr>
      <w:r>
        <w:rPr>
          <w:rFonts w:ascii="Times New Roman" w:cs="Times New Roman" w:eastAsia="Times New Roman" w:hAnsi="Times New Roman"/>
        </w:rPr>
        <w:t xml:space="preserve">van Eck, N. J., &amp; Waltman, L. (2009). How to normalize cooccurrence data? An analysis of some well-known similarity measures. </w:t>
      </w:r>
      <w:r>
        <w:rPr>
          <w:rFonts w:ascii="Times New Roman" w:cs="Times New Roman" w:eastAsia="Times New Roman" w:hAnsi="Times New Roman"/>
          <w:i/>
          <w:iCs/>
        </w:rPr>
        <w:t xml:space="preserve">Journal of the American Society for Information Science and Technology, 60</w:t>
      </w:r>
      <w:r>
        <w:rPr>
          <w:rFonts w:ascii="Times New Roman" w:cs="Times New Roman" w:eastAsia="Times New Roman" w:hAnsi="Times New Roman"/>
        </w:rPr>
        <w:t xml:space="preserve">(8), 1635-1651. https://doi.org/10.1002/asi.21075</w:t>
      </w:r>
    </w:p>
    <w:p>
      <w:pPr>
        <w:spacing w:after="40"/>
        <w:ind w:left="567" w:hanging="567"/>
        <w:jc w:val="left"/>
      </w:pPr>
      <w:r>
        <w:rPr>
          <w:rFonts w:ascii="Times New Roman" w:cs="Times New Roman" w:eastAsia="Times New Roman" w:hAnsi="Times New Roman"/>
        </w:rPr>
        <w:t xml:space="preserve">Zhang, C., &amp; Kovacs, J. M. (2012). The application of small unmanned aerial systems for precision agriculture: A review. </w:t>
      </w:r>
      <w:r>
        <w:rPr>
          <w:rFonts w:ascii="Times New Roman" w:cs="Times New Roman" w:eastAsia="Times New Roman" w:hAnsi="Times New Roman"/>
          <w:i/>
          <w:iCs/>
        </w:rPr>
        <w:t xml:space="preserve">Precision Agriculture, 13</w:t>
      </w:r>
      <w:r>
        <w:rPr>
          <w:rFonts w:ascii="Times New Roman" w:cs="Times New Roman" w:eastAsia="Times New Roman" w:hAnsi="Times New Roman"/>
        </w:rPr>
        <w:t xml:space="preserve">(6), 693-712. https://doi.org/10.1007/s11119-012-9274-5</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University of Zagreb, Faculty of Organization and Informatics, Pavlinska 2, 42000 Varaždin, Croatia, vuros@veleknin.hr</w:t>
      </w:r>
    </w:p>
  </w:footnote>
  <w:footnote w:id="2">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mjelic@veleknin.hr</w:t>
      </w:r>
    </w:p>
  </w:footnote>
  <w:footnote w:id="3">
    <w:p>
      <w:pPr>
        <w:jc w:val="both"/>
      </w:pPr>
      <w:r>
        <w:rPr>
          <w:rStyle w:val="FootnoteReference"/>
        </w:rPr>
        <w:footnoteRef/>
      </w:r>
      <w:r>
        <w:rPr>
          <w:rFonts w:ascii="Times New Roman" w:cs="Times New Roman" w:eastAsia="Times New Roman" w:hAnsi="Times New Roman"/>
          <w:sz w:val="20"/>
          <w:szCs w:val="20"/>
        </w:rPr>
        <w:t xml:space="preserve">University of Applied Sciences "Marko Marulić" in Knin, Petra Krešimira IV 30, 22300 Knin, Croatia; University of Zagreb, Faculty of Agriculture, Svetošimunska cesta 25, 10000 Zagreb, Croatia, smandini@veleknin.hr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sksfgv65zb5bym75_hb" Type="http://schemas.openxmlformats.org/officeDocument/2006/relationships/hyperlink" Target="https://orcid.org/0009-0007-6568-0827" TargetMode="External"/><Relationship Id="rIdmwz6xra39qldwrk4l-pct" Type="http://schemas.openxmlformats.org/officeDocument/2006/relationships/hyperlink" Target="https://orcid.org/0009-0006-4135-5221" TargetMode="External"/><Relationship Id="rIdmyblxud68blcd-agfbg90" Type="http://schemas.openxmlformats.org/officeDocument/2006/relationships/hyperlink" Target="https://orcid.org/0009-0009-1312-5914" TargetMode="External"/><Relationship Id="rId10" Type="http://schemas.openxmlformats.org/officeDocument/2006/relationships/image" Target="media/733afe72dd98b959b95f06f225ebf983a3f09bfa.png"/><Relationship Id="rId11" Type="http://schemas.openxmlformats.org/officeDocument/2006/relationships/image" Target="media/9526a4afbd7d68f526b919d3b8c3bca829033b8a.png"/><Relationship Id="rId12" Type="http://schemas.openxmlformats.org/officeDocument/2006/relationships/image" Target="media/23bb64332f17458e09695d0a6cdf011fdce90dfb.png"/><Relationship Id="rId13" Type="http://schemas.openxmlformats.org/officeDocument/2006/relationships/image" Target="media/ba9fc8de0429873b351b0ceaaeadaab817258d77.png"/><Relationship Id="rId14" Type="http://schemas.openxmlformats.org/officeDocument/2006/relationships/image" Target="media/0b1ff43382fc636988a5847db5a32972ff12f4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Keyword Networks, Thematic Evolution and Growth Forecasts of Agricultural Drone Research to 2035</dc:title>
  <dc:creator>Vedran Uroš</dc:creator>
  <dc:description>ITEMA 2026 full paper</dc:description>
  <cp:lastModifiedBy>Vedran Uroš</cp:lastModifiedBy>
  <cp:revision>1</cp:revision>
  <dcterms:created xsi:type="dcterms:W3CDTF">2026-10-22T11:55:09.641Z</dcterms:created>
  <dcterms:modified xsi:type="dcterms:W3CDTF">2026-10-22T11:55:09.643Z</dcterms:modified>
</cp:coreProperties>
</file>

<file path=docProps/custom.xml><?xml version="1.0" encoding="utf-8"?>
<Properties xmlns="http://schemas.openxmlformats.org/officeDocument/2006/custom-properties" xmlns:vt="http://schemas.openxmlformats.org/officeDocument/2006/docPropsVTypes"/>
</file>