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6"/>
          <w:szCs w:val="26"/>
        </w:rPr>
        <w:t xml:space="preserve">RESPONSE TO THE REVIEWER</w:t>
      </w:r>
    </w:p>
    <w:p>
      <w:pPr>
        <w:spacing w:after="120" w:line="260"/>
        <w:jc w:val="both"/>
      </w:pPr>
      <w:r>
        <w:rPr>
          <w:rFonts w:ascii="Times New Roman" w:cs="Times New Roman" w:eastAsia="Times New Roman" w:hAnsi="Times New Roman"/>
          <w:sz w:val="22"/>
          <w:szCs w:val="22"/>
        </w:rPr>
        <w:t xml:space="preserve">Manuscript: "Drones in Ecology and Environmental Monitoring: Bibliometric State of the Art and Growth Forecasts to 2035" (MIPRO Robotics, special session RTA-DRONES)</w:t>
      </w:r>
    </w:p>
    <w:p>
      <w:pPr>
        <w:spacing w:after="120" w:line="260"/>
        <w:jc w:val="both"/>
      </w:pPr>
      <w:r>
        <w:rPr>
          <w:rFonts w:ascii="Times New Roman" w:cs="Times New Roman" w:eastAsia="Times New Roman" w:hAnsi="Times New Roman"/>
          <w:sz w:val="22"/>
          <w:szCs w:val="22"/>
        </w:rPr>
        <w:t xml:space="preserve">We thank the reviewer for an unusually careful and constructive reading. All five points have been addressed; the additional analyses were run in MATLAB R2023b with the same pipeline (a driver script revision_runs.m and its complete output in results_rev/ have been added to the openly archived repository, doi:10.5281/zenodo.22119199). Changes in the manuscript are described point by point below.</w:t>
      </w:r>
    </w:p>
    <w:p>
      <w:pPr>
        <w:spacing w:after="120" w:before="240"/>
      </w:pPr>
      <w:r>
        <w:rPr>
          <w:rFonts w:ascii="Times New Roman" w:cs="Times New Roman" w:eastAsia="Times New Roman" w:hAnsi="Times New Roman"/>
          <w:b/>
          <w:bCs/>
          <w:sz w:val="22"/>
          <w:szCs w:val="22"/>
        </w:rPr>
        <w:t xml:space="preserve">2.1 Consistency of the long-term forecasts</w:t>
      </w:r>
    </w:p>
    <w:p>
      <w:pPr>
        <w:spacing w:after="120" w:line="260"/>
        <w:jc w:val="both"/>
      </w:pPr>
      <w:r>
        <w:rPr>
          <w:rFonts w:ascii="Times New Roman" w:cs="Times New Roman" w:eastAsia="Times New Roman" w:hAnsi="Times New Roman"/>
          <w:b/>
          <w:bCs/>
          <w:i/>
          <w:iCs/>
          <w:sz w:val="22"/>
          <w:szCs w:val="22"/>
        </w:rPr>
        <w:t xml:space="preserve">Reviewer: </w:t>
      </w:r>
      <w:r>
        <w:rPr>
          <w:rFonts w:ascii="Times New Roman" w:cs="Times New Roman" w:eastAsia="Times New Roman" w:hAnsi="Times New Roman"/>
          <w:i/>
          <w:iCs/>
          <w:sz w:val="22"/>
          <w:szCs w:val="22"/>
        </w:rPr>
        <w:t xml:space="preserve">The 35,872 figure for 2035 can only be reconciled with the share forecast if the denominator grows implausibly fast; the Discussion itself discards the exponential model. Reconcile the two approaches and align Abstract, Results, Discussion and Conclusion. Check the "tenfold" statement.</w:t>
      </w:r>
    </w:p>
    <w:p>
      <w:pPr>
        <w:spacing w:after="120" w:line="26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We agree. Table II now also reports the average of the three saturating models (logistic, Gompertz, Bass; QAICc weights renormalised to 0.32, 0.45 and 0.23), obtained from a full 1,000-replicate bootstrap rerun: 7,133 articles in 2028, 9,443 in 2030, 12,051 in 2032 and 17,058 in 2035 [90 percent interval 4,056–42,253]. The Abstract now gives this saturating-model average as the long-horizon count forecast; the full four-model average is retained in Table II for completeness but Section IV.B states explicitly that it leans on the exponential model, which the share analysis rejects. Section V.A adds the explicit reconciliation the reviewer asked for: if the environmental literature continues at its 2015–2024 growth rate of 6.6 percent per year (2025 excluded as partly artefactual), the share forecast of 13.1–21.7 per 1,000 implies roughly 10,500–17,400 articles in 2035, a range that brackets the saturating-model average. The Conclusion was reworded accordingly, so all four sections now communicate the same interpretation. The "tenfold" statement was checked and corrected: depending on the assumed denominator growth (6.6–9.5 percent per year), the exponential count model implies a five- to sevenfold rise in share by 2035; the text now says so.</w:t>
      </w:r>
    </w:p>
    <w:p>
      <w:pPr>
        <w:spacing w:after="120" w:before="240"/>
      </w:pPr>
      <w:r>
        <w:rPr>
          <w:rFonts w:ascii="Times New Roman" w:cs="Times New Roman" w:eastAsia="Times New Roman" w:hAnsi="Times New Roman"/>
          <w:b/>
          <w:bCs/>
          <w:sz w:val="22"/>
          <w:szCs w:val="22"/>
        </w:rPr>
        <w:t xml:space="preserve">2.2 Definition of the reported model average</w:t>
      </w:r>
    </w:p>
    <w:p>
      <w:pPr>
        <w:spacing w:after="120" w:line="260"/>
        <w:jc w:val="both"/>
      </w:pPr>
      <w:r>
        <w:rPr>
          <w:rFonts w:ascii="Times New Roman" w:cs="Times New Roman" w:eastAsia="Times New Roman" w:hAnsi="Times New Roman"/>
          <w:b/>
          <w:bCs/>
          <w:i/>
          <w:iCs/>
          <w:sz w:val="22"/>
          <w:szCs w:val="22"/>
        </w:rPr>
        <w:t xml:space="preserve">Reviewer: </w:t>
      </w:r>
      <w:r>
        <w:rPr>
          <w:rFonts w:ascii="Times New Roman" w:cs="Times New Roman" w:eastAsia="Times New Roman" w:hAnsi="Times New Roman"/>
          <w:i/>
          <w:iCs/>
          <w:sz w:val="22"/>
          <w:szCs w:val="22"/>
        </w:rPr>
        <w:t xml:space="preserve">Applying the Table I weights to the Table II forecasts does not reproduce the model average; state explicitly how it is calculated.</w:t>
      </w:r>
    </w:p>
    <w:p>
      <w:pPr>
        <w:spacing w:after="120" w:line="26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The reviewer's conjecture is correct. Section III.D now states: "The reported model average is the median of this bootstrap distribution of weighted forecasts; because the weights are recomputed on every replicate, it is not identical to the QAICc-weighted combination of the point forecasts in Tables I and II, and the difference grows with the horizon, since replicates that favour the exponential shape pull the distribution upwards." The definition is thus reproducible from the manuscript, and the same definition applies to the new saturating-model average.</w:t>
      </w:r>
    </w:p>
    <w:p>
      <w:pPr>
        <w:spacing w:after="120" w:before="240"/>
      </w:pPr>
      <w:r>
        <w:rPr>
          <w:rFonts w:ascii="Times New Roman" w:cs="Times New Roman" w:eastAsia="Times New Roman" w:hAnsi="Times New Roman"/>
          <w:b/>
          <w:bCs/>
          <w:sz w:val="22"/>
          <w:szCs w:val="22"/>
        </w:rPr>
        <w:t xml:space="preserve">2.3 Sensitivity of the normalised-share result</w:t>
      </w:r>
    </w:p>
    <w:p>
      <w:pPr>
        <w:spacing w:after="120" w:line="260"/>
        <w:jc w:val="both"/>
      </w:pPr>
      <w:r>
        <w:rPr>
          <w:rFonts w:ascii="Times New Roman" w:cs="Times New Roman" w:eastAsia="Times New Roman" w:hAnsi="Times New Roman"/>
          <w:b/>
          <w:bCs/>
          <w:i/>
          <w:iCs/>
          <w:sz w:val="22"/>
          <w:szCs w:val="22"/>
        </w:rPr>
        <w:t xml:space="preserve">Reviewer: </w:t>
      </w:r>
      <w:r>
        <w:rPr>
          <w:rFonts w:ascii="Times New Roman" w:cs="Times New Roman" w:eastAsia="Times New Roman" w:hAnsi="Times New Roman"/>
          <w:i/>
          <w:iCs/>
          <w:sz w:val="22"/>
          <w:szCs w:val="22"/>
        </w:rPr>
        <w:t xml:space="preserve">The share sensitivity without 2025 should be reported, since the denominator also jumps in 2025 and the plateau and the 85 percent figure depend on that observation.</w:t>
      </w:r>
    </w:p>
    <w:p>
      <w:pPr>
        <w:spacing w:after="120" w:line="26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We reran the full share analysis (1,000 bootstrap replicates) on 2005–2024. The logistic rate model still receives essentially all the weight (0.997) and the plateau moves only from 13.3 to 13.0 articles per 1,000, with the inflection unchanged (2019–2020); 80 percent of the plateau had already been reached by 2024. This is now reported in Section IV.C and reflected in the Abstract, and the previously unsupported claim that "normalisation attenuates the artefact" is now backed by these numbers. The central conclusion is thus strengthened, as the reviewer anticipated.</w:t>
      </w:r>
    </w:p>
    <w:p>
      <w:pPr>
        <w:spacing w:after="120" w:before="240"/>
      </w:pPr>
      <w:r>
        <w:rPr>
          <w:rFonts w:ascii="Times New Roman" w:cs="Times New Roman" w:eastAsia="Times New Roman" w:hAnsi="Times New Roman"/>
          <w:b/>
          <w:bCs/>
          <w:sz w:val="22"/>
          <w:szCs w:val="22"/>
        </w:rPr>
        <w:t xml:space="preserve">2.4 Denominators and interpretation of absolute counts</w:t>
      </w:r>
    </w:p>
    <w:p>
      <w:pPr>
        <w:spacing w:after="120" w:line="260"/>
        <w:jc w:val="both"/>
      </w:pPr>
      <w:r>
        <w:rPr>
          <w:rFonts w:ascii="Times New Roman" w:cs="Times New Roman" w:eastAsia="Times New Roman" w:hAnsi="Times New Roman"/>
          <w:b/>
          <w:bCs/>
          <w:i/>
          <w:iCs/>
          <w:sz w:val="22"/>
          <w:szCs w:val="22"/>
        </w:rPr>
        <w:t xml:space="preserve">Reviewer: </w:t>
      </w:r>
      <w:r>
        <w:rPr>
          <w:rFonts w:ascii="Times New Roman" w:cs="Times New Roman" w:eastAsia="Times New Roman" w:hAnsi="Times New Roman"/>
          <w:i/>
          <w:iCs/>
          <w:sz w:val="22"/>
          <w:szCs w:val="22"/>
        </w:rPr>
        <w:t xml:space="preserve">Either use the two additional denominators in a sensitivity comparison or omit them; clarify the denominator behind the 2.9-to-18.5-percent statement; describe absolute numbers as query-matched records and precision-adjusted numbers as estimates.</w:t>
      </w:r>
    </w:p>
    <w:p>
      <w:pPr>
        <w:spacing w:after="120" w:line="26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All three denominators are now used. Section IV.C reports the share analysis under the classification-based denominator (OpenAlex field Environmental Science: logistic weight 0.96, plateau 19.0 per 1,000, inflection 2023, 68 percent reached in 2025) and under all indexed works (logistic weight 0.96, plateau 1.12 per 1,000, inflection 2024, 59 percent reached). The saturating shape is denominator-independent, while the exact position on the curve is specific to the environmental-literature denominator, and the text now says so. Section III.A now introduces the context series D alone (the whole UAV literature) and states that it is used only for the environmental-fraction statement the reviewer queried. Finally, the wording was changed in Sections III.A and V.D: absolute numbers are described as query-matched OpenAlex records rather than exact counts, and precision-adjusted values (about 0.6 times the raw counts) are described as estimates.</w:t>
      </w:r>
    </w:p>
    <w:p>
      <w:pPr>
        <w:spacing w:after="120" w:before="240"/>
      </w:pPr>
      <w:r>
        <w:rPr>
          <w:rFonts w:ascii="Times New Roman" w:cs="Times New Roman" w:eastAsia="Times New Roman" w:hAnsi="Times New Roman"/>
          <w:b/>
          <w:bCs/>
          <w:sz w:val="22"/>
          <w:szCs w:val="22"/>
        </w:rPr>
        <w:t xml:space="preserve">2.5 Reporting of the backtesting results</w:t>
      </w:r>
    </w:p>
    <w:p>
      <w:pPr>
        <w:spacing w:after="120" w:line="260"/>
        <w:jc w:val="both"/>
      </w:pPr>
      <w:r>
        <w:rPr>
          <w:rFonts w:ascii="Times New Roman" w:cs="Times New Roman" w:eastAsia="Times New Roman" w:hAnsi="Times New Roman"/>
          <w:b/>
          <w:bCs/>
          <w:i/>
          <w:iCs/>
          <w:sz w:val="22"/>
          <w:szCs w:val="22"/>
        </w:rPr>
        <w:t xml:space="preserve">Reviewer: </w:t>
      </w:r>
      <w:r>
        <w:rPr>
          <w:rFonts w:ascii="Times New Roman" w:cs="Times New Roman" w:eastAsia="Times New Roman" w:hAnsi="Times New Roman"/>
          <w:i/>
          <w:iCs/>
          <w:sz w:val="22"/>
          <w:szCs w:val="22"/>
        </w:rPr>
        <w:t xml:space="preserve">Report the backtesting error separately by origin and align the "reliable horizon of about three years" wording with what those results show.</w:t>
      </w:r>
    </w:p>
    <w:p>
      <w:pPr>
        <w:spacing w:after="120" w:line="26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Section IV.B now reports MAPE by origin: 41–43 percent from the 2018 origin (seven remaining years), 56–58 percent from 2020 and 15–35 percent from 2022 (three remaining years), noting that every evaluation window contains the partly artefactual 2025 value; the averaged figures are retained alongside. Section III.D explains that the origins correspond to seven-, five- and three-year evaluation horizons. Section V.A now ties the three-year-horizon claim to these numbers (the error from the most recent origin is a third to a half of the error at the longer origins) and the sentence about a single 2035 point forecast being "misleading" was replaced: any long-horizon count is now reported, as in Table II, together with the share analysis that anchors it.</w:t>
      </w:r>
    </w:p>
    <w:p>
      <w:pPr>
        <w:spacing w:after="120" w:before="240"/>
        <w:jc w:val="both"/>
      </w:pPr>
      <w:r>
        <w:rPr>
          <w:rFonts w:ascii="Times New Roman" w:cs="Times New Roman" w:eastAsia="Times New Roman" w:hAnsi="Times New Roman"/>
          <w:sz w:val="22"/>
          <w:szCs w:val="22"/>
        </w:rPr>
        <w:t xml:space="preserve">All other parts of the manuscript are unchanged. The revised English manuscript, its Croatian control version, the revision driver script and the complete numerical output of the additional runs accompany this response.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2026-09-01T19:31:53.398Z</dcterms:created>
  <dcterms:modified xsi:type="dcterms:W3CDTF">2026-09-01T19:31:53.398Z</dcterms:modified>
</cp:coreProperties>
</file>

<file path=docProps/custom.xml><?xml version="1.0" encoding="utf-8"?>
<Properties xmlns="http://schemas.openxmlformats.org/officeDocument/2006/custom-properties" xmlns:vt="http://schemas.openxmlformats.org/officeDocument/2006/docPropsVTypes"/>
</file>