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Projekcija korištenja dronova u ekologiji i zaštiti okoliša 2026.–2035.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Godišnja projekcija znanstvene produkcije (OpenAlex) na temelju podataka 2005.–2025.; izlaz skripte drone_env_projection_10y.m (1000 bootstrap replika za jezgru, 200 za poddomene). Dopuna radnog dokumenta od 26. 8. 2026.</w:t>
      </w:r>
    </w:p>
    <w:p>
      <w:pPr>
        <w:pStyle w:val="Heading1"/>
        <w:spacing w:after="100" w:before="260"/>
      </w:pPr>
      <w:r>
        <w:t xml:space="preserve">1. Kratki odgovor</w:t>
      </w:r>
    </w:p>
    <w:p>
      <w:pPr>
        <w:spacing w:after="120"/>
      </w:pPr>
      <w:r>
        <w:rPr>
          <w:sz w:val="21"/>
          <w:szCs w:val="21"/>
        </w:rPr>
        <w:t xml:space="preserve">Ako se nastavi dinamika iz 2005.–2025., broj radova o dronovima u ekologiji i zaštiti okoliša raste s </w:t>
      </w:r>
      <w:r>
        <w:rPr>
          <w:b/>
          <w:bCs/>
          <w:sz w:val="21"/>
          <w:szCs w:val="21"/>
        </w:rPr>
        <w:t xml:space="preserve">4.747 (2025.)</w:t>
      </w:r>
      <w:r>
        <w:rPr>
          <w:sz w:val="21"/>
          <w:szCs w:val="21"/>
        </w:rPr>
        <w:t xml:space="preserve"> na oko </w:t>
      </w:r>
      <w:r>
        <w:rPr>
          <w:b/>
          <w:bCs/>
          <w:sz w:val="21"/>
          <w:szCs w:val="21"/>
        </w:rPr>
        <w:t xml:space="preserve">8.469 u 2028.</w:t>
      </w:r>
      <w:r>
        <w:rPr>
          <w:sz w:val="21"/>
          <w:szCs w:val="21"/>
        </w:rPr>
        <w:t xml:space="preserve"> [90 %: 6.142–10.342], </w:t>
      </w:r>
      <w:r>
        <w:rPr>
          <w:b/>
          <w:bCs/>
          <w:sz w:val="21"/>
          <w:szCs w:val="21"/>
        </w:rPr>
        <w:t xml:space="preserve">12.841 u 2030.</w:t>
      </w:r>
      <w:r>
        <w:rPr>
          <w:sz w:val="21"/>
          <w:szCs w:val="21"/>
        </w:rPr>
        <w:t xml:space="preserve"> [7.501–17.122] i </w:t>
      </w:r>
      <w:r>
        <w:rPr>
          <w:b/>
          <w:bCs/>
          <w:sz w:val="21"/>
          <w:szCs w:val="21"/>
        </w:rPr>
        <w:t xml:space="preserve">35.783 u 2035.</w:t>
      </w:r>
      <w:r>
        <w:rPr>
          <w:sz w:val="21"/>
          <w:szCs w:val="21"/>
        </w:rPr>
        <w:t xml:space="preserve"> [10.518–60.939]. </w:t>
      </w:r>
      <w:r>
        <w:rPr>
          <w:sz w:val="21"/>
          <w:szCs w:val="21"/>
        </w:rPr>
        <w:t xml:space="preserve">Modeli se slažu do 2028./2029.; nakon toga se razilaze između zasićenja na ~9 000 radova godišnje (logistički), vrhunca oko 2030. i pada (Bass) te nastavka eksponencijalnog rasta (~60 000). Interval za 2035. je zato širok i to je nalaz, ne slabost metode.</w:t>
      </w:r>
    </w:p>
    <w:p>
      <w:pPr>
        <w:spacing w:after="120"/>
      </w:pPr>
      <w:r>
        <w:rPr>
          <w:sz w:val="21"/>
          <w:szCs w:val="21"/>
        </w:rPr>
        <w:t xml:space="preserve">Udio te teme u ukupnoj literaturi o okolišu je mnogo predvidljiviji: s </w:t>
      </w:r>
      <w:r>
        <w:rPr>
          <w:b/>
          <w:bCs/>
          <w:sz w:val="21"/>
          <w:szCs w:val="21"/>
        </w:rPr>
        <w:t xml:space="preserve">11,3 na 1 000 (2025.)</w:t>
      </w:r>
      <w:r>
        <w:rPr>
          <w:sz w:val="21"/>
          <w:szCs w:val="21"/>
        </w:rPr>
        <w:t xml:space="preserve"> raste na 13,9 u 2030. [12,6–16,6] i 15,5 u 2035. [13,2–21,4]; logistički model (težina 0,999) daje plato od 13,2 na 1 000. Drugim riječima: dron postaje standardan alat čija upotreba u ekologiji raste onoliko koliko raste samo područje.</w:t>
      </w:r>
    </w:p>
    <w:p>
      <w:pPr>
        <w:pStyle w:val="Heading1"/>
        <w:spacing w:after="100" w:before="260"/>
      </w:pPr>
      <w:r>
        <w:t xml:space="preserve">2. Jezgra: broj radova godišnje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300"/>
        <w:gridCol w:w="1300"/>
        <w:gridCol w:w="1200"/>
        <w:gridCol w:w="1500"/>
        <w:gridCol w:w="21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Godina</w:t>
            </w:r>
          </w:p>
        </w:tc>
        <w:tc>
          <w:tcPr>
            <w:tcW w:type="dxa" w:w="14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Eksponencijalni</w:t>
            </w:r>
          </w:p>
        </w:tc>
        <w:tc>
          <w:tcPr>
            <w:tcW w:type="dxa" w:w="1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Logistički</w:t>
            </w:r>
          </w:p>
        </w:tc>
        <w:tc>
          <w:tcPr>
            <w:tcW w:type="dxa" w:w="1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Gompertz</w:t>
            </w:r>
          </w:p>
        </w:tc>
        <w:tc>
          <w:tcPr>
            <w:tcW w:type="dxa" w:w="12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Bass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Prosjek modela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90 % interval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5.970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4.941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5.328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4.970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5.519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4.687 – 6.209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2027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7.713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5.670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6.516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5.631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6.851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5.449 – 8.007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2028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9.966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6.364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7.920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6.147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8.469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6.142 – 10.342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2029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12.878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6.997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9.569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6.444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10.456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6.779 – 13.278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2030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16.639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7.551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11.494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6.474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12.841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7.501 – 17.122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21.499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8.022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13.729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6.234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15.727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8.027 – 21.959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2032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27.779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8.409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16.309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5.760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19.195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8.521 – 28.256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2033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35.893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8.719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19.272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5.125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23.514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9.185 – 36.391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2034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46.377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8.964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22.658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4.407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29.003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9.797 – 46.984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2035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59.923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9.154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26.505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3.681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35.783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10.518 – 60.939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1. Točkaste procjene po modelu i QAICc-ponderirani prosjek (medijan) s 90 % negativno-binomnim bootstrap intervalom, 1000 replika. Težine modela: eksponencijalni 0,08, logistički 0,30, Gompertz 0,41, Bass 0,21. Označene godine = horizonti 3/5/7/10 g.</w:t>
      </w:r>
    </w:p>
    <w:p>
      <w:pPr>
        <w:spacing w:before="120"/>
        <w:jc w:val="center"/>
      </w:pPr>
      <w:r>
        <w:drawing>
          <wp:inline distT="0" distB="0" distL="0" distR="0">
            <wp:extent cx="3960495" cy="29883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298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Slika 1. Opaženi broj radova 2010.–2025. (točke), četiri modela rasta (linije), prosjek modela (kvadrati) i 90 % interval (sivo), log-skala.</w:t>
      </w:r>
    </w:p>
    <w:p>
      <w:pPr>
        <w:pStyle w:val="Heading1"/>
        <w:spacing w:after="100" w:before="260"/>
      </w:pPr>
      <w:r>
        <w:t xml:space="preserve">3. Jezgra: udio u literaturi o okolišu (na 1 000 radova)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400"/>
        <w:gridCol w:w="1600"/>
        <w:gridCol w:w="22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Godina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Eksponencijalni</w:t>
            </w:r>
          </w:p>
        </w:tc>
        <w:tc>
          <w:tcPr>
            <w:tcW w:type="dxa" w:w="14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Logistički</w:t>
            </w:r>
          </w:p>
        </w:tc>
        <w:tc>
          <w:tcPr>
            <w:tcW w:type="dxa" w:w="14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Gompertz</w:t>
            </w:r>
          </w:p>
        </w:tc>
        <w:tc>
          <w:tcPr>
            <w:tcW w:type="dxa" w:w="16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Prosjek modela</w:t>
            </w:r>
          </w:p>
        </w:tc>
        <w:tc>
          <w:tcPr>
            <w:tcW w:type="dxa" w:w="22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90 % interval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15,6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11,7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12,0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11,4 – 12,7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2027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18,6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12,6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11,8 – 13,7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2028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22,2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12,4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15,7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13,1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12,1 – 14,6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2029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26,5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12,6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17,0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13,5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12,4 – 15,6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2030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31,5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12,8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18,3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13,9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12,6 – 16,6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2031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37,6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12,9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19,6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14,3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12,8 – 17,6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2032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44,8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13,0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20,9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14,6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12,9 – 18,5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2033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53,4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22,1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14,9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13,0 – 19,5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2034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63,7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23,3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15,2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13,1 – 20,4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2035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75,9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13,2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24,5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15,5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13,2 – 21,4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2. Projekcija udjela (nazivnik: radovi koji sadrže ekološke/okolišne pojmove, isti način pretrage). Težine: logistički 0,999, ostali ≈ 0; eksponencijalni i Gompertz prikazani samo kao usporedba.</w:t>
      </w:r>
    </w:p>
    <w:p>
      <w:pPr>
        <w:pStyle w:val="Heading1"/>
        <w:spacing w:after="100" w:before="260"/>
      </w:pPr>
      <w:r>
        <w:t xml:space="preserve">4. Poddomene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600"/>
        <w:gridCol w:w="1500"/>
        <w:gridCol w:w="1500"/>
        <w:gridCol w:w="1500"/>
        <w:gridCol w:w="16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Godina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Fauna</w:t>
            </w:r>
          </w:p>
        </w:tc>
        <w:tc>
          <w:tcPr>
            <w:tcW w:type="dxa" w:w="16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Šume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Vode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Zrak/plinovi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Požari</w:t>
            </w:r>
          </w:p>
        </w:tc>
        <w:tc>
          <w:tcPr>
            <w:tcW w:type="dxa" w:w="16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Zašt. područja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547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2.079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1.252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302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441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830 [683–958]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3.548 [2.555–4.773]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1.585 [1.058–2.236]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465 [312–589]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572 [532–607]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891 [760–1.031]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1.090 [811–1.366]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5.039 [2.800–8.024]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1.895 [895–3.314]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630 [331–914]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927 [854–1.000]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1.594 [1.314–1.900]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2032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1.418 [877–1.963]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7.237 [3.137–13.825]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2.241 [780–4.909]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859 [349–1.420]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1.504 [1.369–1.644]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2.847 [2.264–3.535]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2035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2.073 [969–3.389]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12.584 [4.001–30.923]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2.802 [544–9.015]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1.409 [414–2.835]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3.106 [2.754–3.481]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6.834 [5.170–8.980]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3. Poddomene: opaženo 2025. i projekcija (prosjek modela [90 % interval], 200 replika). Poddomenski upiti se preklapaju. Kod požara i zaštićenih područja dominira eksponencijalni model (težina 0,57), pa su intervali uski i podcjenjuju stvarnu nesigurnost dugoročnog oblika krivulje.</w:t>
      </w:r>
    </w:p>
    <w:p>
      <w:pPr>
        <w:spacing w:before="120"/>
        <w:jc w:val="center"/>
      </w:pPr>
      <w:r>
        <w:drawing>
          <wp:inline distT="0" distB="0" distL="0" distR="0">
            <wp:extent cx="5940742" cy="37804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7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Slika 2. Projekcija po poddomenama (log-skala): opaženo 2010.–2025., prosjek modela i 90 % interval do 2035.</w:t>
      </w:r>
    </w:p>
    <w:p>
      <w:pPr>
        <w:pStyle w:val="Heading1"/>
        <w:spacing w:after="100" w:before="260"/>
      </w:pPr>
      <w:r>
        <w:t xml:space="preserve">5. Kako čitati i citirati projekciju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Za rad preporučujem citirati prosjek modela s intervalom za 2028. i 2030. te raspon modela (ne prosjek) za 2035. — na 10 godina pitanje „koji oblik krivulje" dominira nad svakom statističkom nesigurnošću.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Robustan je zaključak o udjelu: plato ~13 na 1 000 s uskim intervalom, potvrđen i backtestom (ishodište 2022.: MAPE 10,6 % za logistički, 58 % za eksponencijalni).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Najbrže rastu poddomene s otvorenim tehničkim problemima (šume, zaštićena područja/krivolov, požari); fauna, gdje je točnost već dokazana, raste najsporije. To povezuje projekciju s pregledom performansi i daje robotičkoj publici konkretnu poruku o tome gdje su senzorski i autonomijski zahtjevi.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Ograničenja: OpenAlex (širi od Scopusa), 2025. dijelom artefakt indeksiranja (bez 2025. logistički K pada s 9 700 na 4 400), preklapanje poddomena, model nesigurnosti samo unutar četiri parametarska oblika. Sve je opisano u codebook.md i radnom dokumentu.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Reprodukcija: matlab/drone_env_projection_10y.m (MATLAB ~10 min ukupno) → projection/&lt;serija&gt;/forecast_count.csv; python/build_projection.py slaže Excel i slike.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8a91f1eaddf3aa1ddfc1e39c619963b9f37c7d.png"/><Relationship Id="rId8" Type="http://schemas.openxmlformats.org/officeDocument/2006/relationships/image" Target="media/fbc60a5daac17a37cc2d13e7eb653a59d21009e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2026-08-26T22:53:31.652Z</dcterms:created>
  <dcterms:modified xsi:type="dcterms:W3CDTF">2026-08-26T22:53:31.652Z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