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Dronovi u ekologiji i zaštiti okoliša: podaci, trenutno stanje i algoritam predviđanja rasta</w:t>
      </w:r>
    </w:p>
    <w:p>
      <w:pPr>
        <w:spacing w:after="240"/>
      </w:pPr>
      <w:r>
        <w:rPr>
          <w:i/>
          <w:iCs/>
          <w:color w:val="595959"/>
          <w:sz w:val="19"/>
          <w:szCs w:val="19"/>
        </w:rPr>
        <w:t xml:space="preserve">Radni dokument za rad na MIPRO Robotics, sekcija RTA-DRONES (Environmental Monitoring and Sustainability). Verzija 1.0, 26. kolovoza 2026. Sve brojke u dokumentu izračunate su skriptom drone_env_forecast.m nad priloženim CSV-om; nijedna nije procijenjena „napamet".</w:t>
      </w:r>
    </w:p>
    <w:p>
      <w:pPr>
        <w:pStyle w:val="Heading1"/>
        <w:spacing w:after="120" w:before="280"/>
      </w:pPr>
      <w:r>
        <w:t xml:space="preserve">1. Što je napravljeno i što se od toga može koristiti u radu</w:t>
      </w:r>
    </w:p>
    <w:p>
      <w:pPr>
        <w:spacing w:after="120"/>
      </w:pPr>
      <w:r>
        <w:rPr>
          <w:sz w:val="21"/>
          <w:szCs w:val="21"/>
        </w:rPr>
        <w:t xml:space="preserve">Prikupljen je reproducibilan godišnji skup podataka o znanstvenoj produkciji koja spaja dronove (UAV/UAS/RPAS) i ekologiju/zaštitu okoliša, 2000.–2026., iz baze OpenAlex, s tri neovisna nazivnika i šest poddomena. Nad njim je izgrađen MATLAB algoritam (bez toolboxa, radi i u Octaveu) koji opisuje trenutno stanje (stopa rasta, udio, trend, prijelomna točka) i daje predviđanje za 3, 5, 7 i 10 godina (2028., 2030., 2032., 2035.) s četiri konkurentska modela rasta, izborom modela informacijskim kriterijem, provjerom točnosti unatrag i bootstrap intervalima. Sve je neovisno replicirano u Pythonu (scipy) — procjene parametara i deviance podudaraju se do zadnje znamenke.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Glavni nalaz u jednoj rečenici: </w:t>
      </w:r>
      <w:r>
        <w:rPr>
          <w:sz w:val="21"/>
          <w:szCs w:val="21"/>
        </w:rPr>
        <w:t xml:space="preserve">apsolutna produkcija raste oko 29–31 % godišnje bez znaka zasićenja (2025.: 4 747 radova), ali udio te teme u ukupnoj literaturi o okolišu usporava i logistički model ga procjenjuje na plato od oko 13 radova na 1 000 — dakle „dronska ekologija" prestaje biti rastuća niša i postaje standardan alat, a daljnji rast prati rast cijelog područja.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Za rad je izravno upotrebljivo: </w:t>
      </w:r>
      <w:r>
        <w:rPr>
          <w:sz w:val="21"/>
          <w:szCs w:val="21"/>
        </w:rPr>
        <w:t xml:space="preserve">Slika 1 (broj radova + predviđanja), Slika 2 (udio + predviđanja), Slika 3 (poddomene), Tablica I (modeli), Tablica II (predviđanja po horizontu). Sve slike su 8,8 cm, crno-bijele, 600 dpi, s EPS verzijom.</w:t>
      </w:r>
    </w:p>
    <w:p>
      <w:pPr>
        <w:pStyle w:val="Heading1"/>
        <w:spacing w:after="120" w:before="280"/>
      </w:pPr>
      <w:r>
        <w:t xml:space="preserve">2. Podaci</w:t>
      </w:r>
    </w:p>
    <w:p>
      <w:pPr>
        <w:pStyle w:val="Heading2"/>
        <w:spacing w:after="80" w:before="200"/>
      </w:pPr>
      <w:r>
        <w:t xml:space="preserve">2.1 Izvor i upiti</w:t>
      </w:r>
    </w:p>
    <w:p>
      <w:pPr>
        <w:spacing w:after="120"/>
      </w:pPr>
      <w:r>
        <w:rPr>
          <w:sz w:val="21"/>
          <w:szCs w:val="21"/>
        </w:rPr>
        <w:t xml:space="preserve">Izvor je OpenAlex (javni API, bez pretplate), pretraga naslova i sažetka Booleovim izrazom, filtar tipa dokumenta article|review. Datum dohvata 26. 8. 2026. — obvezno navesti u radu jer se OpenAlex retroaktivno mijenja. Upiti su izvedeni s vašeg računala (sandbox nema pristup API-ju); potpuni izrazi i URL-predložak nalaze se u codebook.md.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6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Serija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Definicija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Uloga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core_drone_env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E (dron × ekologija/okoliš)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brojnik, zavisna varijabla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env_only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 (ekologija/okoliš, isti način pretrage)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nazivnik 1 (udio)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field23_envsci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OpenAlex polje Environmental Science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nazivnik 2 (klasifikacijski)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all_works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sva djela u bazi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nazivnik 3 (rast baze)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drone_only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(sva dronska literatura)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kontekst: udio ekologije u dronskoj literaturi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sub_fauna … sub_conservation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poddomenski pojmovi (6 poddomena)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struktura primjena; preklapaju se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HR_core, HR_all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isto, s barem jednim hrvatskim autorom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nacionalni kontekst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A. Serije u datoteci openalex_drone_env_annual.csv. D = (drone OR drones OR UAV OR UAVs OR UAS OR "unmanned aerial" OR "unmanned aircraft" OR RPAS OR "remotely piloted aircraft"); E = 24 pojma iz ekologije i zaštite okoliša (puni popis u codebook.md).</w:t>
      </w:r>
    </w:p>
    <w:p>
      <w:pPr>
        <w:pStyle w:val="Heading2"/>
        <w:spacing w:after="80" w:before="200"/>
      </w:pPr>
      <w:r>
        <w:t xml:space="preserve">2.2 Zašto ne Eurostat i što je s registarskim podacima</w:t>
      </w:r>
    </w:p>
    <w:p>
      <w:pPr>
        <w:spacing w:after="120"/>
      </w:pPr>
      <w:r>
        <w:rPr>
          <w:sz w:val="21"/>
          <w:szCs w:val="21"/>
        </w:rPr>
        <w:t xml:space="preserve">Eurostat nema nikakvu vremensku seriju o dronovima (provjereno 26. 8. 2026.). Postoji samo metodološki radni dokument KS-TC-22-004 (2022.) o identifikaciji dronskih tvrtki web-inteligencijom za Španjolsku, Italiju i Irsku, bez tabličnih podataka. Za rad je stoga neupotrebljiv. Registarski podaci postoje, ali su heterogeni i kratki: FAA (SAD) objavljuje godišnje nove komercijalne registracije 2018.–2024. (izvedeno iz mjesečnih prosjeka: 175 200 → 124 440 godišnje, tj. pad nakon vrhunca 2018.) i 493 000 certifikata daljinskih pilota (2025.); AESA (Španjolska) 150 332 registrirana operatora krajem 2025. (+26 %); EASA „više od dva milijuna" registriranih operatora u Europi (svibanj 2025.); HACZ za Hrvatsku 2 464 operatora, 9 633 udaljena pilota i 18 odobrenja za posebnu kategoriju (2024.). Ti podaci ne mogu nositi model, ali su dobri za jedan odlomak Discussiona: rast literature (30 %/god.) višestruko nadmašuje rast operativne baze u SAD-u, koja je od 2018. stagnirala. Sve je u registry_indicators.csv s izvorima.</w:t>
      </w:r>
    </w:p>
    <w:p>
      <w:pPr>
        <w:pStyle w:val="Heading2"/>
        <w:spacing w:after="80" w:before="200"/>
      </w:pPr>
      <w:r>
        <w:t xml:space="preserve">2.3 Ograničenja podataka koja moraju u rad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Skok u 2025. u svim serijama (env_only +39 % naspram 2024.) dijelom je artefakt indeksiranja OpenAlexa. Normalizacija ga ublažava; skripta zato radi i analizu osjetljivosti bez 2025. — i ona pokazuje da 2025. bitno mijenja procjenu zasićenja (vidi 5.4).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Pojmovi drone/drones/UAS hvataju i šum (trutovi u pčelarstvu, akronimi). Prije predaje treba ručno provjeriti slučajni uzorak od 100 zapisa i izvijestiti preciznost — to skripta ne može.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OpenAlex je širi od Scopusa/WoS-a (regionalni časopisi, Zenodo). Apsolutni brojevi su veći nego što bi ih dao Scopus; trendovi i udjeli su usporedivi. Ako imate pristup Scopusu, isti upit po godinama bio bi vrijedna križna provjera (jedan stupac u CSV-u).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Poddomene se preklapaju i ne zbrajaju u ukupni broj.</w:t>
      </w:r>
    </w:p>
    <w:p>
      <w:pPr>
        <w:pStyle w:val="Heading1"/>
        <w:spacing w:after="120" w:before="280"/>
      </w:pPr>
      <w:r>
        <w:t xml:space="preserve">3. Trenutno stanje (2005.–2025.)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300"/>
      </w:tblGrid>
      <w:tr>
        <w:trPr>
          <w:tblHeader/>
        </w:trPr>
        <w:tc>
          <w:tcPr>
            <w:tcW w:type="dxa" w:w="3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Pokazatelj</w:t>
            </w:r>
          </w:p>
        </w:tc>
        <w:tc>
          <w:tcPr>
            <w:tcW w:type="dxa" w:w="5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Vrijednost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Broj radova 2005. → 2025.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 → 4 747 (ukupno 20 344 u razdoblju)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CAGR 2005.–2025. / zadnjih 10 godina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29,3 % / 30,6 %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Udio u literaturi o okolišu (na 1 000)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0,34 → 11,27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Udio u ukupnoj dronskoj literaturi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2,9 % → 18,5 %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Mann-Kendall, brojevi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 = 209, Z = 6,28, p = 3·10⁻¹⁰; Senov nagib 147 radova/god. [90 % CI 105; 194]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Mann-Kendall, udio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 = 202, Z = 6,07, p = 1·10⁻⁹; Senov nagib 0,60 na 1 000/god. [0,49; 0,76]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Prijelomna točka (segmentirani log-linearni), brojevi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2010.: 17 %/god. prije → 34 %/god. poslije (F = 5,5; p ≈ 0,014, približno)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Prijelomna točka, udio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2010.: 8 %/god. → 27 %/god. (F = 4,2; p ≈ 0,032, približno)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Otvoreni pristup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72 % radova (14 679 od 20 344)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Zemlje (prve tri)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Kina 4 410; SAD 3 470; UK 1 015 (182 zemlje ukupno)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Časopisi (prva tri)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Sensing 1 709; Drones 494; ISPRS Archives 423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Hrvatska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62 rada 2016.–2025. (18 u 2025.); udio HR u svjetskom korpusu ≈ 0,3 %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B. Sažetak trenutnog stanja; sve vrijednosti iz izlaza skripte i codebook.md (odjeljak 6).</w:t>
      </w:r>
    </w:p>
    <w:p>
      <w:pPr>
        <w:spacing w:after="120"/>
      </w:pPr>
      <w:r>
        <w:rPr>
          <w:sz w:val="21"/>
          <w:szCs w:val="21"/>
        </w:rPr>
        <w:t xml:space="preserve">Napomena o prijelomnoj točki: 2010. se poklapa s pojavom jeftinih višerotorskih platformi i MEMS senzora, ne s regulativom (EU Uredba 2019/947 primjenjuje se od 31. 12. 2020., a u podacima se oko 2021. vidi usporavanje udjela, ne ubrzanje). Za rad je to korisna nit: tehnologija, a ne regulacija, pokrenula je rast; regulacija se poklapa s prijelazom iz niše u standard.</w:t>
      </w:r>
    </w:p>
    <w:p>
      <w:pPr>
        <w:pStyle w:val="Heading2"/>
        <w:spacing w:after="80" w:before="200"/>
      </w:pPr>
      <w:r>
        <w:t xml:space="preserve">3.1 Poddomene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20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Poddomena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2015.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2025.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CAGR 10 g.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Brojanje/popis faune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547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Šume / zdravlje šuma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2 079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Vode / bentos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1 252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25,8 %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Zrak / emisije plinova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26,8 %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Požari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28,3 %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Zaštićena područja / krivolov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29,6 %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C. Broj radova po poddomeni (preklapajući upiti) i složena godišnja stopa rasta 2015.–2025.</w:t>
      </w:r>
    </w:p>
    <w:p>
      <w:pPr>
        <w:spacing w:after="120"/>
      </w:pPr>
      <w:r>
        <w:rPr>
          <w:sz w:val="21"/>
          <w:szCs w:val="21"/>
        </w:rPr>
        <w:t xml:space="preserve">Fauna — najzrelija primjena prema kolegin pregledu — raste najsporije (18,5 %), a šume najbrže (33,7 %). To podupire tezu iz pregleda: tamo gdje je točnost već dokazana (brojanje diskretnih objekata) literatura se zasićuje; tamo gdje je tehnički problem otvoren (kontinuirana spektralna polja, „zeleni napad" potkornjaka) produkcija još ubrzava. To je dobar most prema robotičkoj publici.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3. Annual number of OpenAlex articles combining UAV terms with six environmental sub-domains, 2005–2025 (log scale; queries overlap).</w:t>
      </w:r>
    </w:p>
    <w:p>
      <w:pPr>
        <w:pStyle w:val="Heading1"/>
        <w:spacing w:after="120" w:before="280"/>
      </w:pPr>
      <w:r>
        <w:t xml:space="preserve">4. Algoritam predviđanja (MATLAB)</w:t>
      </w:r>
    </w:p>
    <w:p>
      <w:pPr>
        <w:spacing w:after="120"/>
      </w:pPr>
      <w:r>
        <w:rPr>
          <w:sz w:val="21"/>
          <w:szCs w:val="21"/>
        </w:rPr>
        <w:t xml:space="preserve">Datoteke u mapi matlab/: drone_env_forecast.m (glavna skripta s blokom OPTIONS), load_annual_data.m, growth_model.m, fit_growth_model.m, mann_kendall.m, segmented_loglinear.m, backtest_models.m, nb_bootstrap.m, poisson_rnd.m, describe_params.m. Nema ovisnosti o toolboxima (koristi fminsearch, randg, betainc, gammaln iz osnovnog MATLAB-a). Testirano u GNU Octave 8.4; u MATLAB-u R2016b+ radi bez izmjena.</w:t>
      </w:r>
    </w:p>
    <w:p>
      <w:pPr>
        <w:pStyle w:val="Heading2"/>
        <w:spacing w:after="80" w:before="200"/>
      </w:pPr>
      <w:r>
        <w:t xml:space="preserve">4.1 Koraci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Ulaz i normalizacija. </w:t>
      </w:r>
      <w:r>
        <w:rPr>
          <w:sz w:val="21"/>
          <w:szCs w:val="21"/>
        </w:rPr>
        <w:t xml:space="preserve">Učitava se CSV; koriste se samo potpune godine (2005.–2025.). Modeli se prilagođavaju dvama ciljevima: (a) apsolutnom broju radova i (b) udjelu u literaturi o okolišu, gdje je nazivnik ugrađen kao offset (μ = N·g(t)), pa predviđanje udjela ne zahtijeva projekciju nazivnika.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Opis stanja. </w:t>
      </w:r>
      <w:r>
        <w:rPr>
          <w:sz w:val="21"/>
          <w:szCs w:val="21"/>
        </w:rPr>
        <w:t xml:space="preserve">CAGR, Mann-Kendallov test s korekcijom vezanih vrijednosti i Senov nagib s 90 % CI (Gilbert 1987), segmentirana log-linearna regresija s jednom prijelomnom točkom (pretraga po mreži, Chow-tip F-test; p je približan jer je točka procijenjena — u radu navesti kao takav ili potvrditi Daviesovim testom u R-u, paket segmented).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Četiri modela rasta. </w:t>
      </w:r>
      <w:r>
        <w:rPr>
          <w:sz w:val="21"/>
          <w:szCs w:val="21"/>
        </w:rPr>
        <w:t xml:space="preserve">Eksponencijalni (bez zasićenja), logistički i Gompertzov (sa zasićenjem K), Bassov difuzijski model (radovi kao „usvajanja" po godini, parametri m, p, q). Za udio se Bass ne koristi jer opisuje usvajanja po razdoblju, a ne razinu.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Kriterij prilagodbe. </w:t>
      </w:r>
      <w:r>
        <w:rPr>
          <w:sz w:val="21"/>
          <w:szCs w:val="21"/>
        </w:rPr>
        <w:t xml:space="preserve">Poissonova devijanca D = 2Σ[y ln(y/μ) − (y − μ)] minimizirana Nelder-Meadom (fminsearch) iz više početnih točaka, s log-transformacijom pozitivnih parametara. Devijanca daje jednaku težinu malim ranim i velikim kasnim godinama i omogućuje pravi log-likelihood za informacijski kriterij.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Izbor modela. </w:t>
      </w:r>
      <w:r>
        <w:rPr>
          <w:sz w:val="21"/>
          <w:szCs w:val="21"/>
        </w:rPr>
        <w:t xml:space="preserve">Brojevi su jako predisperzirani (ĉ = Pearsonov χ²/df ≈ 20), pa se koristi QAICc (kvazi-AIC s korekcijom za mali uzorak) i Akaikeove težine; predviđanje je QAICc-ponderirani prosjek modela.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Provjera unatrag. </w:t>
      </w:r>
      <w:r>
        <w:rPr>
          <w:sz w:val="21"/>
          <w:szCs w:val="21"/>
        </w:rPr>
        <w:t xml:space="preserve">Rolling-origin backtest: fit do 2018./2020./2022., predviđanje ostatka; MAPE, pristranost i RMSE na log-skali po modelu.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Nesigurnost. </w:t>
      </w:r>
      <w:r>
        <w:rPr>
          <w:sz w:val="21"/>
          <w:szCs w:val="21"/>
        </w:rPr>
        <w:t xml:space="preserve">Parametarski negativno-binomni bootstrap (gamma-Poissonova mješavina, disperzija procijenjena metodom momenata): 1000 replika, ponovni fit svakog modela i ponovno računanje težina u svakoj replici → 5. i 95. percentil predviđanja po modelu i za prosjek.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Analiza osjetljivosti. </w:t>
      </w:r>
      <w:r>
        <w:rPr>
          <w:sz w:val="21"/>
          <w:szCs w:val="21"/>
        </w:rPr>
        <w:t xml:space="preserve">Ponovni fit brojeva bez 2025. (artefakt indeksiranja).</w:t>
      </w:r>
    </w:p>
    <w:p>
      <w:pPr>
        <w:pStyle w:val="Heading2"/>
        <w:spacing w:after="80" w:before="200"/>
      </w:pPr>
      <w:r>
        <w:t xml:space="preserve">4.2 Pokretanje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cd matlab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drone_env_forecast          % ~1–3 min u MATLAB-u za 1000 replika; rezultati u ../results</w:t>
      </w:r>
    </w:p>
    <w:p>
      <w:pPr>
        <w:spacing w:after="120"/>
      </w:pPr>
      <w:r>
        <w:rPr>
          <w:sz w:val="21"/>
          <w:szCs w:val="21"/>
        </w:rPr>
        <w:t xml:space="preserve">U bloku OPTIONS mijenjaju se: putanja CSV-a, raspon godina, horizonti, brojnik i nazivnik (npr. numerator = 'sub_forest' za predviđanje poddomene), popis modela, broj replika, sjeme. Izlaz: models_count.csv, models_share.csv, forecast_count.csv, forecast_share.csv, tri slike (PNG 600 dpi + EPS) i .mat s cijelom strukturom rezultata.</w:t>
      </w:r>
    </w:p>
    <w:p>
      <w:pPr>
        <w:pStyle w:val="Heading1"/>
        <w:spacing w:after="120" w:before="280"/>
      </w:pPr>
      <w:r>
        <w:t xml:space="preserve">5. Rezultati</w:t>
      </w:r>
    </w:p>
    <w:p>
      <w:pPr>
        <w:pStyle w:val="Heading2"/>
        <w:spacing w:after="80" w:before="200"/>
      </w:pPr>
      <w:r>
        <w:t xml:space="preserve">5.1 Modeli za broj radova (Tablica I u radu)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"/>
        <w:gridCol w:w="1000"/>
        <w:gridCol w:w="900"/>
        <w:gridCol w:w="800"/>
        <w:gridCol w:w="1150"/>
        <w:gridCol w:w="34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4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Devijanca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QAICc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Težina</w:t>
            </w:r>
          </w:p>
        </w:tc>
        <w:tc>
          <w:tcPr>
            <w:tcW w:type="dxa" w:w="11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Backtest MAPE</w:t>
            </w:r>
          </w:p>
        </w:tc>
        <w:tc>
          <w:tcPr>
            <w:tcW w:type="dxa" w:w="3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Parametri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469,5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36,5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45,3 %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a=27.5, b=0.2563 (29.2 %/yr)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364,9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33,9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0,30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38,6 %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K=9739, r=0.302, t_mid=2025.9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352,2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33,3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38,5 %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K=3.745e+06, r=0.031, t_mid=2086.3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Bass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377,9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34,6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0,21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40,8 %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m=8.856e+04, p=0.00018, q=0.294, t_peak=2029.1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D (→ TABLE I). Modeli rasta prilagođeni godišnjem broju radova 2005.–2025. (n = 21). ĉ = 19,78. k = broj parametara; MAPE = prosjek preko ishodišta 2018., 2020., 2022.</w:t>
      </w:r>
    </w:p>
    <w:p>
      <w:pPr>
        <w:spacing w:after="120"/>
      </w:pPr>
      <w:r>
        <w:rPr>
          <w:sz w:val="21"/>
          <w:szCs w:val="21"/>
        </w:rPr>
        <w:t xml:space="preserve">Nijedan model nije uvjerljivo bolji: težine su 0,08–0,41 i dijele se između modela sa zasićenjem i bez njega. Gompertzov model s K ≈ 3,7 milijuna i t_mid = 2086 degenerira u praktički eksponencijalni oblik; logistički model vidi zasićenje na K ≈ 9 700 radova/god. s točkom infleksije 2025./2026.; Bass predviđa vrhunac 2029. Podaci do 2025. ne mogu razlučiti jesmo li prije ili na točki infleksije — i to je, za robotičku publiku, pošten i zanimljiv rezultat.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1. Annual OpenAlex articles combining UAV and ecology/environmental terms (dots), four growth models fitted by Poisson deviance (lines) and the QAICc-weighted model average with 90 % negative-binomial bootstrap interval (squares, shaded) for 2028–2035.</w:t>
      </w:r>
    </w:p>
    <w:p>
      <w:pPr>
        <w:pStyle w:val="Heading2"/>
        <w:spacing w:after="80" w:before="200"/>
      </w:pPr>
      <w:r>
        <w:t xml:space="preserve">5.2 Predviđanje broja radova (Tablica II u radu)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2028. (3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2030. (5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2032. (7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2035. (10 g.)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9.966 [8.658; 11.398]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16.639 [14.088; 19.588]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27.779 [22.914; 33.648]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59.923 [47.561; 75.283]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6.364 [4.668; 9.828]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7.551 [5.123; 15.643]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8.409 [5.350; 23.943]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9.154 [5.508; 40.569]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7.920 [6.360; 9.938]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11.494 [8.532; 15.774]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16.309 [11.116; 24.985]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26.505 [15.771; 48.664]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6.147 [3.835; 10.157]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6.474 [3.074; 16.031]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5.760 [2.089; 24.919]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3.681 [980; 44.398]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QAICc-prosjek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8.406 [5.813; 10.307]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12.678 [6.802; 17.152]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18.862 [7.465; 28.607]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34.798 [8.897; 62.223]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E (→ TABLE II). Točkasta procjena i 90 % bootstrap interval [q05; q95] broja radova godišnje (1000 replika). Za QAICc-prosjek točkasta procjena je medijan bootstrap-distribucije.</w:t>
      </w:r>
    </w:p>
    <w:p>
      <w:pPr>
        <w:pStyle w:val="Heading2"/>
        <w:spacing w:after="80" w:before="200"/>
      </w:pPr>
      <w:r>
        <w:t xml:space="preserve">5.3 Predviđanje udjela u literaturi o okolišu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700"/>
        <w:gridCol w:w="1700"/>
        <w:gridCol w:w="1700"/>
        <w:gridCol w:w="18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Težina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2028.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2030.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2032.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2035.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22,20 [18,42; 26,93]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31,55 [25,25; 39,39]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44,83 [34,65; 57,67]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75,94 [55,66; 102,52]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12,39 [11,76; 13,18]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12,80 [12,08; 13,74]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13,03 [12,23; 14,06]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13,18 [12,34; 14,29]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15,69 [14,02; 17,79]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18,30 [15,81; 21,47]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20,86 [17,45; 25,39]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24,52 [19,73; 31,58]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QAICc-prosjek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13,11 [12,18; 14,64]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13,95 [12,67; 16,47]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14,68 [12,97; 18,32]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15,54 [13,23; 21,20]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F. Radova na 1 000 radova o okolišu; točkasta procjena i 90 % bootstrap interval. ĉ = 13,11.</w:t>
      </w:r>
    </w:p>
    <w:p>
      <w:pPr>
        <w:spacing w:after="120"/>
      </w:pPr>
      <w:r>
        <w:rPr>
          <w:sz w:val="21"/>
          <w:szCs w:val="21"/>
        </w:rPr>
        <w:t xml:space="preserve">Kod udjela je slika drukčija i jasnija: logistički model dobiva gotovo svu težinu (0,999), eksponencijalni je odbačen (ΔQAICc ≈ 46), a plato je K = 13,3 na 1 000 s točkom infleksije 2019./2020. Udio je u 2025. već na 11,3, tj. na 85 % procijenjenog platoa. Backtest to potvrđuje: s ishodištem 2022. logistički model ima MAPE 10,6 %, eksponencijalni 58 %.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2. Share of UAV-related articles per 1000 environmental articles (OpenAlex), fitted exponential, logistic and Gompertz rate models with the environmental literature as offset, and QAICc-weighted forecast with 90 % bootstrap interval.</w:t>
      </w:r>
    </w:p>
    <w:p>
      <w:pPr>
        <w:pStyle w:val="Heading2"/>
        <w:spacing w:after="80" w:before="200"/>
      </w:pPr>
      <w:r>
        <w:t xml:space="preserve">5.4 Osjetljivost na 2025. i provjera unatrag</w:t>
      </w:r>
    </w:p>
    <w:p>
      <w:pPr>
        <w:spacing w:after="120"/>
      </w:pPr>
      <w:r>
        <w:rPr>
          <w:sz w:val="21"/>
          <w:szCs w:val="21"/>
        </w:rPr>
        <w:t xml:space="preserve">Bez 2025. logistički model za brojeve daje K ≈ 4 400 (umjesto 9 700) i predviđanje za 2035. od 4 433 umjesto 9 154; Bass predviđa pad. Jedna godina, koja je dijelom artefakt indeksiranja, udvostručuje procijenjeni kapacitet. To treba otvoreno napisati: predviđanje za 3 godine je robusno (svi modeli 6 100–10 000 radova za 2028.), predviđanje za 10 godina nije (3 700–60 000). Rolling-origin backtest daje MAPE 39–45 % za sve modele preko tri ishodišta — dugoročna točnost bilo kojeg parametarskog modela rasta na ovakvoj seriji je skromna, a razlike među modelima su manje od razlike među ishodištima.</w:t>
      </w:r>
    </w:p>
    <w:p>
      <w:pPr>
        <w:pStyle w:val="Heading1"/>
        <w:spacing w:after="120" w:before="280"/>
      </w:pPr>
      <w:r>
        <w:t xml:space="preserve">6. Što to znači za rad i za robotičku publiku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 poruke za Discussion: (1) apsolutna produkcija još raste eksponencijalno (~30 %/god.), (2) udio u literaturi o okolišu ulazi u plato oko 1,3 % — dron je postao standardan senzorski nosač, ne više „nova tema", (3) rast se seli u poddomene s otvorenim tehničkim problemima (šume, emisije plinova, požari), dok najzrelija (fauna) usporava.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Implikacija za robotičare: buduća vrijednost nije u „još jednoj primjeni drona", nego u senzorskim i autonomijskim zahtjevima koje otvorene poddomene postavljaju — spektralna rezolucija za rano otkrivanje zaraze, senzori za fikocijanin, kvantifikacija nesigurnosti kod plinskih mjerenja, obrasci leta koji minimiziraju uznemiravanje. To izravno povezuje bibliometrijski nalaz s pregledom performansi kolege.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Predložena struktura za 6 stranica: I Introduction (pregled + motivacija, 0,7 str.), II Data and Methods (upiti, modeli, kriteriji, 1,3 str.), III Results (Fig. 1–3, Table I–II, 1,8 str.), IV Discussion (tri poruke + registarski kontrast + hrvatski regulatorni kontekst, 1,2 str.), V Conclusion (0,3 str.), literatura (0,7 str.).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Naslov (prijedlog): „Drones in Ecology and Environmental Monitoring: Bibliometric State of the Art and Growth Forecasts to 2035".</w:t>
      </w:r>
    </w:p>
    <w:p>
      <w:pPr>
        <w:pStyle w:val="Heading1"/>
        <w:spacing w:after="120" w:before="280"/>
      </w:pPr>
      <w:r>
        <w:t xml:space="preserve">7. Što još treba napraviti prije predaje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Pokrenuti drone_env_forecast.m u MATLAB-u s nboot = 1000 (ovaj izvještaj temelji se na Octave izvršenju iste skripte); zadržati ispis konzole kao prilog.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Ručna provjera preciznosti upita na 100 slučajnih zapisa (OpenAlex API: sample=100&amp;seed=...), navesti postotak relevantnih.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Ako je dostupan Scopus: isti Booleov upit po godinama kao križna provjera (jedan dodatni stupac).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Daviesov test za prijelomnu točku u R-u (segmented) ako želite p-vrijednost koju statističar-recenzent neće osporiti.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Provjeriti sve reference iz kolegina pregleda u izvoru (DOI-jevi), osobito „provjeriti" stavke; dodati Bass (1969), Meade &amp; Islam (2006) za modele difuzije, Burnham &amp; Anderson (2002) za QAICc, Priem i sur. (2022) za OpenAlex.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Deklaracija uporabe generativne AI u Acknowledgment prema aktualnoj IEEE politici.</w:t>
      </w:r>
    </w:p>
    <w:p>
      <w:pPr>
        <w:pStyle w:val="Heading1"/>
        <w:spacing w:after="120" w:before="280"/>
      </w:pPr>
      <w:r>
        <w:t xml:space="preserve">8. Popis isporučenih datoteka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Datoteka</w:t>
            </w:r>
          </w:p>
        </w:tc>
        <w:tc>
          <w:tcPr>
            <w:tcW w:type="dxa" w:w="5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Sadržaj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data/openalex_drone_env_annual.csv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glavni skup: 27 godina × 13 serija + oznaka potpune godine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data/raw_openalex_counts.csv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isti podaci u dugom formatu (serija, godina, broj)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data/registry_indicators.csv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FAA, AESA, EASA, HACZ pokazatelji s izvorima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data/codebook.md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definicije upita, varijable, ograničenja, agregati po zemljama/časopisima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matlab/*.m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algoritam (10 datoteka), bez toolboxa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python/replicate_fits.py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neovisna replikacija fitova (scipy)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results/*.csv, *.png, *.eps, *.mat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izlaz skripte: tablice modela i predviđanja, tri slike</w:t>
            </w:r>
          </w:p>
        </w:tc>
      </w:tr>
    </w:tbl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94970308a2257f253af5e1fd4d5e6b1f0b1267.png"/><Relationship Id="rId8" Type="http://schemas.openxmlformats.org/officeDocument/2006/relationships/image" Target="media/647ac2b2d5dfc13737d06f1ca45ac6247fe541e8.png"/><Relationship Id="rId9" Type="http://schemas.openxmlformats.org/officeDocument/2006/relationships/image" Target="media/89d16228ac682282c1d83f71c1e96c58020b8ce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2026-08-26T22:02:51.492Z</dcterms:created>
  <dcterms:modified xsi:type="dcterms:W3CDTF">2026-08-26T22:02:51.493Z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