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Statističke funkcije i metode korištene u radu</w:t>
      </w:r>
    </w:p>
    <w:p>
      <w:pPr>
        <w:spacing w:after="240"/>
      </w:pPr>
      <w:r>
        <w:rPr>
          <w:i/>
          <w:iCs/>
          <w:color w:val="595959"/>
          <w:sz w:val="19"/>
          <w:szCs w:val="19"/>
        </w:rPr>
        <w:t xml:space="preserve">Pregled s obrazloženjem izbora, pretpostavkama i mjestom u kodu. Odnosi se na rad „Drones in Ecology and Environmental Monitoring: Bibliometric State of the Art and Growth Forecasts to 2035“ i na MATLAB paket u mapi matlab/. Verzija 1.0, 27. kolovoza 2026.</w:t>
      </w:r>
    </w:p>
    <w:p>
      <w:pPr>
        <w:pStyle w:val="Heading1"/>
        <w:spacing w:after="120" w:before="280"/>
      </w:pPr>
      <w:r>
        <w:t xml:space="preserve">1. Logika cjeline</w:t>
      </w:r>
    </w:p>
    <w:p>
      <w:pPr>
        <w:spacing w:after="120"/>
      </w:pPr>
      <w:r>
        <w:rPr>
          <w:sz w:val="21"/>
          <w:szCs w:val="21"/>
        </w:rPr>
        <w:t xml:space="preserve">Analiza ima jedan ulaz (godišnji broj radova 2005.–2025. i nazivnik) i tri pitanja: kako je područje raslo dosad, koji oblik krivulje najbolje opisuje taj rast, i koliko su pouzdane projekcije za 3, 5, 7 i 10 godina. Svaka metoda u nastavku odgovara na jedno od tih pitanja, a odabrane su prema dva kriterija: (1) podaci su brojevi (cijeli, nenegativni, jako predisperzirani, n = 21), pa metode moraju biti prikladne za brojive podatke i male uzorke; (2) sve mora raditi u osnovnom MATLAB-u bez alatnih paketa i biti reproducibilno iz koda, jer sekcija RTA-DRONES najavljuje strojnu provjeru metodologije.</w:t>
      </w:r>
    </w:p>
    <w:p>
      <w:pPr>
        <w:spacing w:after="120"/>
      </w:pPr>
      <w:r>
        <w:rPr>
          <w:sz w:val="21"/>
          <w:szCs w:val="21"/>
        </w:rPr>
        <w:t xml:space="preserve">Redoslijed u skripti </w:t>
      </w:r>
      <w:r>
        <w:rPr>
          <w:rFonts w:ascii="Consolas" w:cs="Consolas" w:eastAsia="Consolas" w:hAnsi="Consolas"/>
          <w:sz w:val="19"/>
          <w:szCs w:val="19"/>
        </w:rPr>
        <w:t xml:space="preserve">drone_env_forecast.m</w:t>
      </w:r>
      <w:r>
        <w:rPr>
          <w:sz w:val="21"/>
          <w:szCs w:val="21"/>
        </w:rPr>
        <w:t xml:space="preserve">: deskriptivna statistika → prilagodba četiriju modela rasta → izbor i ponderiranje modela → provjera unatrag → bootstrap intervali → analiza osjetljivosti → slike i tablice.</w:t>
      </w:r>
    </w:p>
    <w:p>
      <w:pPr>
        <w:pStyle w:val="Heading1"/>
        <w:spacing w:after="120" w:before="280"/>
      </w:pPr>
      <w:r>
        <w:t xml:space="preserve">2. Deskriptivna statistika i testovi trenda</w:t>
      </w:r>
    </w:p>
    <w:p>
      <w:pPr>
        <w:pStyle w:val="Heading2"/>
        <w:spacing w:after="80" w:before="200"/>
      </w:pPr>
      <w:r>
        <w:t xml:space="preserve">2.1 Složena godišnja stopa rasta (CAGR)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1"/>
          <w:szCs w:val="21"/>
        </w:rPr>
        <w:t xml:space="preserve">CAGR = (y₂₀₂₅ / y₂₀₀₅)^(1/20) − 1</w:t>
      </w:r>
    </w:p>
    <w:p>
      <w:pPr>
        <w:spacing w:after="120"/>
      </w:pPr>
      <w:r>
        <w:rPr>
          <w:sz w:val="21"/>
          <w:szCs w:val="21"/>
        </w:rPr>
        <w:t xml:space="preserve">Zašto: jedan broj koji sažima rast kroz razdoblje i koji recenzent može provjeriti napamet. Ograničenje: ovisi samo o dvije krajnje godine, pa je izračunata i za posljednjih 10 godina; ne služi za predviđanje.</w:t>
      </w:r>
    </w:p>
    <w:p>
      <w:pPr>
        <w:pStyle w:val="Heading2"/>
        <w:spacing w:after="80" w:before="200"/>
      </w:pPr>
      <w:r>
        <w:t xml:space="preserve">2.2 Normalizacija nazivnikom (udio)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1"/>
          <w:szCs w:val="21"/>
        </w:rPr>
        <w:t xml:space="preserve">sₜ = 1000 · yₜ / Nₜ</w:t>
      </w:r>
    </w:p>
    <w:p>
      <w:pPr>
        <w:spacing w:after="120"/>
      </w:pPr>
      <w:r>
        <w:rPr>
          <w:sz w:val="21"/>
          <w:szCs w:val="21"/>
        </w:rPr>
        <w:t xml:space="preserve">Zašto: cijela znanstvena literatura raste nekoliko posto godišnje, a okolišna literatura u OpenAlexu porasla je s 82 000 na 421 000 radova godišnje. Bez nazivnika svaki „eksponencijalni rast“ teme dijelom je artefakt rasta baze. Udio na 1 000 radova o okolišu odgovara na pitanje „raste li tema brže od područja“, a u modelima se nazivnik ugrađuje kao offset (μₜ = Nₜ·g(t)), što je standardni pristup u Poissonovoj regresiji za stope.</w:t>
      </w:r>
    </w:p>
    <w:p>
      <w:pPr>
        <w:pStyle w:val="Heading2"/>
        <w:spacing w:after="80" w:before="200"/>
      </w:pPr>
      <w:r>
        <w:t xml:space="preserve">2.3 Mann–Kendallov test trenda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1"/>
          <w:szCs w:val="21"/>
        </w:rPr>
        <w:t xml:space="preserve">S = Σᵢ&lt;ⱼ sgn(yⱼ − yᵢ),   Z = (S ∓ 1) / √Var(S),   Var(S) = [n(n−1)(2n+5) − Σ tₖ(tₖ−1)(2tₖ+5)] / 18</w:t>
      </w:r>
    </w:p>
    <w:p>
      <w:pPr>
        <w:spacing w:after="120"/>
      </w:pPr>
      <w:r>
        <w:rPr>
          <w:sz w:val="21"/>
          <w:szCs w:val="21"/>
        </w:rPr>
        <w:t xml:space="preserve">Zašto: neparametarski test monotonog trenda koji ne pretpostavlja normalnost ni linearnost, standard u analizi okolišnih vremenskih serija. Korekcija za vezane vrijednosti (tₖ) uključena je jer rane godine imaju ponovljene male brojeve. Normalna aproksimacija vrijedi za n ≥ 10. Datoteka: </w:t>
      </w:r>
      <w:r>
        <w:rPr>
          <w:rFonts w:ascii="Consolas" w:cs="Consolas" w:eastAsia="Consolas" w:hAnsi="Consolas"/>
          <w:sz w:val="19"/>
          <w:szCs w:val="19"/>
        </w:rPr>
        <w:t xml:space="preserve">mann_kendall.m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80" w:before="200"/>
      </w:pPr>
      <w:r>
        <w:t xml:space="preserve">2.4 Senov nagib s intervalom pouzdanosti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1"/>
          <w:szCs w:val="21"/>
        </w:rPr>
        <w:t xml:space="preserve">β = medijan{ (yⱼ − yᵢ)/(tⱼ − tᵢ) },  i &lt; j</w:t>
      </w:r>
    </w:p>
    <w:p>
      <w:pPr>
        <w:spacing w:after="120"/>
      </w:pPr>
      <w:r>
        <w:rPr>
          <w:sz w:val="21"/>
          <w:szCs w:val="21"/>
        </w:rPr>
        <w:t xml:space="preserve">Zašto: robusna procjena veličine trenda (radova godišnje) koja prati Mann–Kendallov test; neosjetljiva na pojedinačne ekstremne godine (npr. 2025.). 90 %-tni interval računa se Gilbertovim (1987.) postupkom preko rangova parnih nagiba i varijance S. Napomena: nagib je linearan, pa za eksponencijalnu seriju opisuje prosječni prirast, ne oblik — zato služi za opis stanja, a ne za projekciju.</w:t>
      </w:r>
    </w:p>
    <w:p>
      <w:pPr>
        <w:pStyle w:val="Heading2"/>
        <w:spacing w:after="80" w:before="200"/>
      </w:pPr>
      <w:r>
        <w:t xml:space="preserve">2.5 Segmentirana log-linearna regresija (jedna prijelomna točka)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1"/>
          <w:szCs w:val="21"/>
        </w:rPr>
        <w:t xml:space="preserve">ln(yₜ/Nₜ) = a + b₁(t − t₀) + b₂·max(t − t_b, 0)</w:t>
      </w:r>
    </w:p>
    <w:p>
      <w:pPr>
        <w:spacing w:after="120"/>
      </w:pPr>
      <w:r>
        <w:rPr>
          <w:sz w:val="21"/>
          <w:szCs w:val="21"/>
        </w:rPr>
        <w:t xml:space="preserve">Zašto: pitanje „kada se rast ubrzao“ je pitanje o strukturnom lomu; model s jednim lomom procijenjen je pretragom po mreži svih kandidata t_b (najmanje 4 godine po segmentu) i uspoređen s modelom bez loma F-testom Chowova tipa. Godišnje stope prije i poslije loma su exp(b) − 1. Ograničenje koje je izrijekom navedeno u radu: p-vrijednost je približna jer je položaj loma procijenjen iz istih podataka (potvrda Daviesovim testom u R-u, paket </w:t>
      </w:r>
      <w:r>
        <w:rPr>
          <w:rFonts w:ascii="Consolas" w:cs="Consolas" w:eastAsia="Consolas" w:hAnsi="Consolas"/>
          <w:sz w:val="19"/>
          <w:szCs w:val="19"/>
        </w:rPr>
        <w:t xml:space="preserve">segmented</w:t>
      </w:r>
      <w:r>
        <w:rPr>
          <w:sz w:val="21"/>
          <w:szCs w:val="21"/>
        </w:rPr>
        <w:t xml:space="preserve">, po potrebi). Implementacija koristi </w:t>
      </w:r>
      <w:r>
        <w:rPr>
          <w:rFonts w:ascii="Consolas" w:cs="Consolas" w:eastAsia="Consolas" w:hAnsi="Consolas"/>
          <w:sz w:val="19"/>
          <w:szCs w:val="19"/>
        </w:rPr>
        <w:t xml:space="preserve">betainc</w:t>
      </w:r>
      <w:r>
        <w:rPr>
          <w:sz w:val="21"/>
          <w:szCs w:val="21"/>
        </w:rPr>
        <w:t xml:space="preserve"> za F-distribuciju, pa ne treba Statistics Toolbox. Datoteka: </w:t>
      </w:r>
      <w:r>
        <w:rPr>
          <w:rFonts w:ascii="Consolas" w:cs="Consolas" w:eastAsia="Consolas" w:hAnsi="Consolas"/>
          <w:sz w:val="19"/>
          <w:szCs w:val="19"/>
        </w:rPr>
        <w:t xml:space="preserve">segmented_loglinear.m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20" w:before="280"/>
      </w:pPr>
      <w:r>
        <w:t xml:space="preserve">3. Modeli rasta</w:t>
      </w:r>
    </w:p>
    <w:p>
      <w:pPr>
        <w:spacing w:after="120"/>
      </w:pPr>
      <w:r>
        <w:rPr>
          <w:sz w:val="21"/>
          <w:szCs w:val="21"/>
        </w:rPr>
        <w:t xml:space="preserve">Odabrana su četiri klasična oblika krivulje koji pokrivaju sve hipoteze o budućnosti: nastavak eksponencijalnog rasta, simetrično zasićenje, asimetrično zasićenje i vrhunac s padom. Namjerno su uzeti modeli s 2–3 parametra jer s n = 21 složeniji modeli nisu identificirani.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900"/>
        <w:gridCol w:w="40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29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Jednadžba</w:t>
            </w:r>
          </w:p>
        </w:tc>
        <w:tc>
          <w:tcPr>
            <w:tcW w:type="dxa" w:w="9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Parametri</w:t>
            </w:r>
          </w:p>
        </w:tc>
        <w:tc>
          <w:tcPr>
            <w:tcW w:type="dxa" w:w="4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Zašto je uključen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Eksponencijalni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μ(t) = a·exp(b·τ)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a, b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Nulta hipoteza „ništa se ne mijenja“; b daje stalnu godišnju stopu rasta (exp(b) − 1).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Logistički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μ(t) = K / [1 + exp(−r(τ − t_m))]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K, r, t_m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Simetrična S-krivulja sa zasićenjem; K je kapacitet (plato), t_m godina infleksije. Standard za difuziju tehnologije (Fisher–Pry).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Gompertz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μ(t) = K·exp[−exp(−r(τ − t_m))]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K, r, t_m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Asimetrična S-krivulja: brz početak, spor prilaz platou. Često bolje opisuje znanstvenu produkciju od logističke; njegova degeneracija (K → ∞) signalizira da podaci ne identificiraju zasićenje.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Bass (difuzijski)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μ(t) = m·[F(τ+1) − F(τ)], F(x) = (1 − e^{−(p+q)x}) / (1 + (q/p)e^{−(p+q)x})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m, p, q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Jedini model s vrhuncem i padom: radovi kao „usvajanja“ po godini, m tržišni potencijal, p inovacija, q imitacija. Za udio nije korišten jer opisuje usvajanja po razdoblju, a ne razinu.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1. Modeli rasta (τ = t − 2005). Datoteka growth_model.m; pozitivni parametri (a, K, r, m, p, q) log-transformirani su radi neograničene optimizacije.</w:t>
      </w:r>
    </w:p>
    <w:p>
      <w:pPr>
        <w:pStyle w:val="Heading1"/>
        <w:spacing w:after="120" w:before="280"/>
      </w:pPr>
      <w:r>
        <w:t xml:space="preserve">4. Procjena parametara</w:t>
      </w:r>
    </w:p>
    <w:p>
      <w:pPr>
        <w:pStyle w:val="Heading2"/>
        <w:spacing w:after="80" w:before="200"/>
      </w:pPr>
      <w:r>
        <w:t xml:space="preserve">4.1 Poissonova devijanca kao kriterij prilagodbe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1"/>
          <w:szCs w:val="21"/>
        </w:rPr>
        <w:t xml:space="preserve">D = 2 Σₜ [ yₜ·ln(yₜ/μₜ) − (yₜ − μₜ) ]</w:t>
      </w:r>
    </w:p>
    <w:p>
      <w:pPr>
        <w:spacing w:after="120"/>
      </w:pPr>
      <w:r>
        <w:rPr>
          <w:sz w:val="21"/>
          <w:szCs w:val="21"/>
        </w:rPr>
        <w:t xml:space="preserve">Zašto ne obični najmanji kvadrati: serija se proteže od 28 do 4 747; OLS na sirovim brojevima bi praktički ignorirao prvih deset godina (dominiraju velike kasne godine), a OLS na log(y) bi obrnuto pretjerano težinu dao ranim godinama i zahtijevao dodavanje konstante zbog mogućih nula. Poissonova devijanca je prirodni kriterij za brojeve: težina svake godine raste s razinom, ali ne kvadratno; uz to daje pravi log-likelihood, bez kojega nema informacijskih kriterija. Ista devijanca koristi se za sva četiri modela, pa su usporedivi.</w:t>
      </w:r>
    </w:p>
    <w:p>
      <w:pPr>
        <w:pStyle w:val="Heading2"/>
        <w:spacing w:after="80" w:before="200"/>
      </w:pPr>
      <w:r>
        <w:t xml:space="preserve">4.2 Nelder–Meadov simpleks (fminsearch) s više početnih točaka</w:t>
      </w:r>
    </w:p>
    <w:p>
      <w:pPr>
        <w:spacing w:after="120"/>
      </w:pPr>
      <w:r>
        <w:rPr>
          <w:sz w:val="21"/>
          <w:szCs w:val="21"/>
        </w:rPr>
        <w:t xml:space="preserve">Zašto: modeli su nelinearni u parametrima, a osnovni MATLAB nema </w:t>
      </w:r>
      <w:r>
        <w:rPr>
          <w:rFonts w:ascii="Consolas" w:cs="Consolas" w:eastAsia="Consolas" w:hAnsi="Consolas"/>
          <w:sz w:val="19"/>
          <w:szCs w:val="19"/>
        </w:rPr>
        <w:t xml:space="preserve">lsqcurvefit</w:t>
      </w:r>
      <w:r>
        <w:rPr>
          <w:sz w:val="21"/>
          <w:szCs w:val="21"/>
        </w:rPr>
        <w:t xml:space="preserve"> ni </w:t>
      </w:r>
      <w:r>
        <w:rPr>
          <w:rFonts w:ascii="Consolas" w:cs="Consolas" w:eastAsia="Consolas" w:hAnsi="Consolas"/>
          <w:sz w:val="19"/>
          <w:szCs w:val="19"/>
        </w:rPr>
        <w:t xml:space="preserve">fitnlm</w:t>
      </w:r>
      <w:r>
        <w:rPr>
          <w:sz w:val="21"/>
          <w:szCs w:val="21"/>
        </w:rPr>
        <w:t xml:space="preserve"> (Optimization/Statistics Toolbox). </w:t>
      </w:r>
      <w:r>
        <w:rPr>
          <w:rFonts w:ascii="Consolas" w:cs="Consolas" w:eastAsia="Consolas" w:hAnsi="Consolas"/>
          <w:sz w:val="19"/>
          <w:szCs w:val="19"/>
        </w:rPr>
        <w:t xml:space="preserve">fminsearch</w:t>
      </w:r>
      <w:r>
        <w:rPr>
          <w:sz w:val="21"/>
          <w:szCs w:val="21"/>
        </w:rPr>
        <w:t xml:space="preserve"> je u osnovnom MATLAB-u i ne treba gradijente. Nedostatak (lokalni minimumi) rješava se višestrukim startom: početne vrijednosti izvode se iz log-linearnog OLS-a (nagib i odsječak), a K, m, p i q pretražuju se po mreži (npr. K = 1,5–100 × maksimum); zadržava se najbolji rezultat i još jednom „polira“ ponovnim pokretanjem. Pozitivni parametri procjenjuju se na log-skali da optimizacija bude neograničena. Datoteka: </w:t>
      </w:r>
      <w:r>
        <w:rPr>
          <w:rFonts w:ascii="Consolas" w:cs="Consolas" w:eastAsia="Consolas" w:hAnsi="Consolas"/>
          <w:sz w:val="19"/>
          <w:szCs w:val="19"/>
        </w:rPr>
        <w:t xml:space="preserve">fit_growth_model.m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80" w:before="200"/>
      </w:pPr>
      <w:r>
        <w:t xml:space="preserve">4.3 Log-likelihood i pomoćne funkcije</w:t>
      </w:r>
    </w:p>
    <w:p>
      <w:pPr>
        <w:spacing w:after="120"/>
      </w:pPr>
      <w:r>
        <w:rPr>
          <w:sz w:val="21"/>
          <w:szCs w:val="21"/>
        </w:rPr>
        <w:t xml:space="preserve">ln L = Σ [yₜ ln μₜ − μₜ − ln(yₜ!)] računa se s </w:t>
      </w:r>
      <w:r>
        <w:rPr>
          <w:rFonts w:ascii="Consolas" w:cs="Consolas" w:eastAsia="Consolas" w:hAnsi="Consolas"/>
          <w:sz w:val="19"/>
          <w:szCs w:val="19"/>
        </w:rPr>
        <w:t xml:space="preserve">gammaln</w:t>
      </w:r>
      <w:r>
        <w:rPr>
          <w:sz w:val="21"/>
          <w:szCs w:val="21"/>
        </w:rPr>
        <w:t xml:space="preserve"> (osnovni MATLAB) uključujući konstantu, kako bi AIC bio usporediv među modelima. Uz svaki model bilježi se i RMSE na log-skali, log(y+1) − log(μ+1), kao intuitivna mjera relativne pogreške.</w:t>
      </w:r>
    </w:p>
    <w:p>
      <w:pPr>
        <w:pStyle w:val="Heading1"/>
        <w:spacing w:after="120" w:before="280"/>
      </w:pPr>
      <w:r>
        <w:t xml:space="preserve">5. Izbor i ponderiranje modela</w:t>
      </w:r>
    </w:p>
    <w:p>
      <w:pPr>
        <w:pStyle w:val="Heading2"/>
        <w:spacing w:after="80" w:before="200"/>
      </w:pPr>
      <w:r>
        <w:t xml:space="preserve">5.1 Pearsonova disperzija ĉ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1"/>
          <w:szCs w:val="21"/>
        </w:rPr>
        <w:t xml:space="preserve">ĉ = Σ (yₜ − μₜ)² / μₜ / (n − k)</w:t>
      </w:r>
    </w:p>
    <w:p>
      <w:pPr>
        <w:spacing w:after="120"/>
      </w:pPr>
      <w:r>
        <w:rPr>
          <w:sz w:val="21"/>
          <w:szCs w:val="21"/>
        </w:rPr>
        <w:t xml:space="preserve">Zašto: Poissonov model pretpostavlja varijancu jednaku sredini; ovdje je ĉ ≈ 20 (brojevi) i 13 (udio), tj. jaka predisperzija. Ignoriranje predisperzije dalo bi preuske intervale i pretjerano „značajne“ razlike među modelima. ĉ se uzima iz najbolje prilagođenog trooparametarskog (globalnog) modela, prema preporuci Burnhama i Andersona.</w:t>
      </w:r>
    </w:p>
    <w:p>
      <w:pPr>
        <w:pStyle w:val="Heading2"/>
        <w:spacing w:after="80" w:before="200"/>
      </w:pPr>
      <w:r>
        <w:t xml:space="preserve">5.2 QAICc i Akaikeove težine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1"/>
          <w:szCs w:val="21"/>
        </w:rPr>
        <w:t xml:space="preserve">QAICc = −2 ln L / ĉ + 2k + 2k(k+1)/(n−k−1),   wᵢ = exp(−Δᵢ/2) / Σ exp(−Δⱼ/2)</w:t>
      </w:r>
    </w:p>
    <w:p>
      <w:pPr>
        <w:spacing w:after="120"/>
      </w:pPr>
      <w:r>
        <w:rPr>
          <w:sz w:val="21"/>
          <w:szCs w:val="21"/>
        </w:rPr>
        <w:t xml:space="preserve">Zašto: kvazi-likelihood inačica AIC-a (dijeljenje s ĉ) ispravlja predisperziju, a korekcija za mali uzorak (c) nužna je pri n/k &lt; 40 (ovdje 21/3 = 7). Akaikeove težine pretvaraju razlike u vjerojatnosti da je pojedini model najbolji u skupu, što omogućuje model averaging: konačno predviđanje je ponderirani prosjek četiriju modela, a ne izbor jednog „pobjednika“. To je bitno jer se težine ovdje dijele (0,08–0,41) — nijedan model nije uvjerljivo najbolji, a prosjek to pošteno odražava.</w:t>
      </w:r>
    </w:p>
    <w:p>
      <w:pPr>
        <w:pStyle w:val="Heading1"/>
        <w:spacing w:after="120" w:before="280"/>
      </w:pPr>
      <w:r>
        <w:t xml:space="preserve">6. Provjera točnosti unatrag (backtest)</w:t>
      </w:r>
    </w:p>
    <w:p>
      <w:pPr>
        <w:spacing w:after="120"/>
      </w:pPr>
      <w:r>
        <w:rPr>
          <w:sz w:val="21"/>
          <w:szCs w:val="21"/>
        </w:rPr>
        <w:t xml:space="preserve">Rolling-origin postupak: svaki se model ponovno prilagodi na podacima do 2018., 2020. i 2022. i ocijeni na preostalim godinama. Mjere: MAPE (srednja apsolutna postotna pogreška), pristranost (srednja predznačena postotna pogreška — pokazuje sustavno pod- ili precjenjivanje) i RMSE na log-skali. Zašto: dobra prilagodba (mala devijanca) ne jamči dobro predviđanje; jedini pošten test prognostičkog modela je predviđanje podataka koje nije vidio. Rezultat (MAPE 39–45 % za sve modele) upravo je razlog zašto rad tvrdi da je pouzdan horizont oko tri godine. Datoteka: </w:t>
      </w:r>
      <w:r>
        <w:rPr>
          <w:rFonts w:ascii="Consolas" w:cs="Consolas" w:eastAsia="Consolas" w:hAnsi="Consolas"/>
          <w:sz w:val="19"/>
          <w:szCs w:val="19"/>
        </w:rPr>
        <w:t xml:space="preserve">backtest_models.m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20" w:before="280"/>
      </w:pPr>
      <w:r>
        <w:t xml:space="preserve">7. Nesigurnost predviđanja — parametarski bootstrap</w:t>
      </w:r>
    </w:p>
    <w:p>
      <w:pPr>
        <w:pStyle w:val="Heading2"/>
        <w:spacing w:after="80" w:before="200"/>
      </w:pPr>
      <w:r>
        <w:t xml:space="preserve">7.1 Negativno-binomna simulacija</w:t>
      </w:r>
    </w:p>
    <w:p>
      <w:pPr>
        <w:spacing w:after="120"/>
      </w:pPr>
      <w:r>
        <w:rPr>
          <w:sz w:val="21"/>
          <w:szCs w:val="21"/>
        </w:rPr>
        <w:t xml:space="preserve">Za svaki model generira se 1 000 repliciranih serija y* oko prilagođenih μₜ, s varijancom μ + μ²/θ (negativna binomna). Simulacija je gama–Poissonova mješavina: λ ~ Gamma(θ, μ/θ) preko </w:t>
      </w:r>
      <w:r>
        <w:rPr>
          <w:rFonts w:ascii="Consolas" w:cs="Consolas" w:eastAsia="Consolas" w:hAnsi="Consolas"/>
          <w:sz w:val="19"/>
          <w:szCs w:val="19"/>
        </w:rPr>
        <w:t xml:space="preserve">randg</w:t>
      </w:r>
      <w:r>
        <w:rPr>
          <w:sz w:val="21"/>
          <w:szCs w:val="21"/>
        </w:rPr>
        <w:t xml:space="preserve"> (osnovni MATLAB), zatim y* ~ Poisson(λ) preko vlastite funkcije </w:t>
      </w:r>
      <w:r>
        <w:rPr>
          <w:rFonts w:ascii="Consolas" w:cs="Consolas" w:eastAsia="Consolas" w:hAnsi="Consolas"/>
          <w:sz w:val="19"/>
          <w:szCs w:val="19"/>
        </w:rPr>
        <w:t xml:space="preserve">poisson_rnd.m</w:t>
      </w:r>
      <w:r>
        <w:rPr>
          <w:sz w:val="21"/>
          <w:szCs w:val="21"/>
        </w:rPr>
        <w:t xml:space="preserve"> (egzaktna inverzija za μ &lt; 30, normalna aproksimacija iznad). Parametar disperzije θ procjenjuje se metodom momenata, 1/θ = Σ[(y−μ)² − μ] / Σμ². Zašto negativna binomna, a ne Poissonova: Poissonov šum bi s ĉ ≈ 20 bio dvadeset puta premalen i intervali bi bili nerealno uski.</w:t>
      </w:r>
    </w:p>
    <w:p>
      <w:pPr>
        <w:pStyle w:val="Heading2"/>
        <w:spacing w:after="80" w:before="200"/>
      </w:pPr>
      <w:r>
        <w:t xml:space="preserve">7.2 Ponovna prilagodba, ponovno ponderiranje i percentilni intervali</w:t>
      </w:r>
    </w:p>
    <w:p>
      <w:pPr>
        <w:spacing w:after="120"/>
      </w:pPr>
      <w:r>
        <w:rPr>
          <w:sz w:val="21"/>
          <w:szCs w:val="21"/>
        </w:rPr>
        <w:t xml:space="preserve">Na svakoj replici svaki se model ponovno prilagodi (topli start iz izvornih parametara radi brzine), QAICc-težine se ponovno izračunaju i zabilježi ponderirano predviđanje. 5. i 95. percentil tih 1 000 vrijednosti daju 90 %-tni interval koji uključuje i parametarsku nesigurnost i nesigurnost izbora modela. Percentili se računaju vlastitom funkcijom (linearna interpolacija, kao </w:t>
      </w:r>
      <w:r>
        <w:rPr>
          <w:rFonts w:ascii="Consolas" w:cs="Consolas" w:eastAsia="Consolas" w:hAnsi="Consolas"/>
          <w:sz w:val="19"/>
          <w:szCs w:val="19"/>
        </w:rPr>
        <w:t xml:space="preserve">prctile</w:t>
      </w:r>
      <w:r>
        <w:rPr>
          <w:sz w:val="21"/>
          <w:szCs w:val="21"/>
        </w:rPr>
        <w:t xml:space="preserve">) jer je </w:t>
      </w:r>
      <w:r>
        <w:rPr>
          <w:rFonts w:ascii="Consolas" w:cs="Consolas" w:eastAsia="Consolas" w:hAnsi="Consolas"/>
          <w:sz w:val="19"/>
          <w:szCs w:val="19"/>
        </w:rPr>
        <w:t xml:space="preserve">prctile</w:t>
      </w:r>
      <w:r>
        <w:rPr>
          <w:sz w:val="21"/>
          <w:szCs w:val="21"/>
        </w:rPr>
        <w:t xml:space="preserve"> u Statistics Toolboxu. Sjeme generatora (</w:t>
      </w:r>
      <w:r>
        <w:rPr>
          <w:rFonts w:ascii="Consolas" w:cs="Consolas" w:eastAsia="Consolas" w:hAnsi="Consolas"/>
          <w:sz w:val="19"/>
          <w:szCs w:val="19"/>
        </w:rPr>
        <w:t xml:space="preserve">rng(20260826)</w:t>
      </w:r>
      <w:r>
        <w:rPr>
          <w:sz w:val="21"/>
          <w:szCs w:val="21"/>
        </w:rPr>
        <w:t xml:space="preserve">) fiksirano je radi reproducibilnosti. Datoteka: </w:t>
      </w:r>
      <w:r>
        <w:rPr>
          <w:rFonts w:ascii="Consolas" w:cs="Consolas" w:eastAsia="Consolas" w:hAnsi="Consolas"/>
          <w:sz w:val="19"/>
          <w:szCs w:val="19"/>
        </w:rPr>
        <w:t xml:space="preserve">nb_bootstrap.m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20" w:before="280"/>
      </w:pPr>
      <w:r>
        <w:t xml:space="preserve">8. Analiza osjetljivosti</w:t>
      </w:r>
    </w:p>
    <w:p>
      <w:pPr>
        <w:spacing w:after="120"/>
      </w:pPr>
      <w:r>
        <w:rPr>
          <w:sz w:val="21"/>
          <w:szCs w:val="21"/>
        </w:rPr>
        <w:t xml:space="preserve">Cijela prilagodba brojeva ponavlja se bez 2025. godine, jer je skok u 2025. (+39 % u nazivniku) dijelom artefakt indeksiranja OpenAlexa. Zašto: pokazuje koliko jedan podatak nosi zaključak — logistički kapacitet pada s 9 739 na oko 4 400. To nije test u strogom smislu, nego obvezna poštena provjera robusnosti koju recenzent očekuje.</w:t>
      </w:r>
    </w:p>
    <w:p>
      <w:pPr>
        <w:pStyle w:val="Heading1"/>
        <w:spacing w:after="120" w:before="280"/>
      </w:pPr>
      <w:r>
        <w:t xml:space="preserve">9. Pomoćne metode izvan MATLAB-a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Neovisna replikacija (Python, scipy). </w:t>
      </w:r>
      <w:r>
        <w:rPr>
          <w:sz w:val="21"/>
          <w:szCs w:val="21"/>
        </w:rPr>
        <w:t xml:space="preserve">Iste devijance minimizirane su Nelder–Meadom u </w:t>
      </w:r>
      <w:r>
        <w:rPr>
          <w:rFonts w:ascii="Consolas" w:cs="Consolas" w:eastAsia="Consolas" w:hAnsi="Consolas"/>
          <w:sz w:val="19"/>
          <w:szCs w:val="19"/>
        </w:rPr>
        <w:t xml:space="preserve">scipy.optimize.minimize</w:t>
      </w:r>
      <w:r>
        <w:rPr>
          <w:sz w:val="21"/>
          <w:szCs w:val="21"/>
        </w:rPr>
        <w:t xml:space="preserve">, a Mann–Kendall provjeren s </w:t>
      </w:r>
      <w:r>
        <w:rPr>
          <w:rFonts w:ascii="Consolas" w:cs="Consolas" w:eastAsia="Consolas" w:hAnsi="Consolas"/>
          <w:sz w:val="19"/>
          <w:szCs w:val="19"/>
        </w:rPr>
        <w:t xml:space="preserve">scipy.stats.kendalltau</w:t>
      </w:r>
      <w:r>
        <w:rPr>
          <w:sz w:val="21"/>
          <w:szCs w:val="21"/>
        </w:rPr>
        <w:t xml:space="preserve">. Svrha: isključiti pogrešku implementacije; procjene se podudaraju u svim znamenkama (</w:t>
      </w:r>
      <w:r>
        <w:rPr>
          <w:rFonts w:ascii="Consolas" w:cs="Consolas" w:eastAsia="Consolas" w:hAnsi="Consolas"/>
          <w:sz w:val="19"/>
          <w:szCs w:val="19"/>
        </w:rPr>
        <w:t xml:space="preserve">python/replicate_fits.py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Excel formule. </w:t>
      </w:r>
      <w:r>
        <w:rPr>
          <w:sz w:val="21"/>
          <w:szCs w:val="21"/>
        </w:rPr>
        <w:t xml:space="preserve">U listu Annual udio, godišnji rast i CAGR računaju se formulama (ne upisanim brojevima) kako bi tablica ostala živa pri ažuriranju podataka.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Bibliometrijski agregati. </w:t>
      </w:r>
      <w:r>
        <w:rPr>
          <w:sz w:val="21"/>
          <w:szCs w:val="21"/>
        </w:rPr>
        <w:t xml:space="preserve">Raspodjela po zemljama, časopisima, poljima, otvorenom pristupu i citiranosti dobivena je izravno API-jevim group_by upitima; to su frekvencije bez statističkog testiranja i služe samo opisu korpusa.</w:t>
      </w:r>
    </w:p>
    <w:p>
      <w:pPr>
        <w:pStyle w:val="Heading1"/>
        <w:spacing w:after="120" w:before="280"/>
      </w:pPr>
      <w:r>
        <w:t xml:space="preserve">10. Sažeta tablica: funkcija → razlog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200"/>
        <w:gridCol w:w="23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Funkcija / metoda</w:t>
            </w:r>
          </w:p>
        </w:tc>
        <w:tc>
          <w:tcPr>
            <w:tcW w:type="dxa" w:w="23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Datoteka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Odgovara na pitanje</w:t>
            </w:r>
          </w:p>
        </w:tc>
        <w:tc>
          <w:tcPr>
            <w:tcW w:type="dxa" w:w="23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Ključna pretpostavka / ograničenje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CAGR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drone_env_forecast.m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Koliko je brzo raslo?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Ovisi o krajnjim godinama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Udio s offsetom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drone_env_forecast.m, fit_growth_model.m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Raste li brže od područja?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Isti način pretrage za brojnik i nazivnik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Mann–Kendall (S, Z, p)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mann_kendall.m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Postoji li monoton trend?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Neovisnost opažanja; n ≥ 10 za normalnu aproksimaciju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Senov nagib + 90 % CI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mann_kendall.m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Kolika je veličina trenda?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Linearni nagib; robustan na ekstreme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Segmentirana log-linearna regresija + F-test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segmented_loglinear.m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Kada se rast promijenio?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Jedan lom; p približan (lom procijenjen)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modela rasta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growth_model.m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Koji oblik krivulje?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2–3 parametra; n = 21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Poissonova devijanca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fit_growth_model.m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Kako prilagoditi brojeve?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Nenegativni brojevi; predisperzija ispravlja se preko ĉ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fminsearch (Nelder–Mead) + multistart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fit_growth_model.m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Kako naći parametre bez toolboxa?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Lokalni minimumi → više startova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Pearsonova disperzija ĉ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fit_growth_model.m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Koliko je predisperzija?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Iz globalnog modela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QAICc + Akaikeove težine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drone_env_forecast.m, nb_bootstrap.m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Koji model / kako ih spojiti?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Isti podaci i likelihood za sve modele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Rolling-origin backtest, MAPE, bias, RMSElog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backtest_models.m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Koliko dobro predviđa nevidljivo?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Malo ishodišta (3) zbog kratke serije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NB parametarski bootstrap (randg + poisson_rnd)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nb_bootstrap.m, poisson_rnd.m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Koliko su široki intervali?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Oblik modela je točan; θ metodom momenata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Percentilni interval (5., 95.)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nb_bootstrap.m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Kako izraziti 90 % interval?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1 000 replika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Analiza osjetljivosti bez 2025.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drone_env_forecast.m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Nosi li jedna godina zaključak?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2. Sve metode na jednom mjestu.</w:t>
      </w:r>
    </w:p>
    <w:p>
      <w:pPr>
        <w:pStyle w:val="Heading1"/>
        <w:spacing w:after="120" w:before="280"/>
      </w:pPr>
      <w:r>
        <w:t xml:space="preserve">11. Što je namjerno izostavljeno i zašto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ARIMA / eksponencijalno izglađivanje: prikladni za kratke horizonte i stacionarne serije, ali ne daju interpretabilan kapacitet ni točku infleksije, što je bilo pitanje 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Negativno-binomna GLM regresija s vremenom kao prediktorom: ekvivalentna eksponencijalnom modelu; uključena je implicitno kroz model (1) i predisperziju 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Formalni Daviesov test i Pettittov test za prijelomnu točku: nisu u osnovnom MATLAB-u; segmentirana regresija s približnim F-testom je dovoljna za opis, a rad to izrijekom navodi kao ograničenje.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Bassov model za udio: konceptualno neprikladan (usvajanja po razdoblju vs. razina), pa je isključen umjesto da se „prilagodi“ i pogrešno tumači.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2026-08-26T23:37:04.398Z</dcterms:created>
  <dcterms:modified xsi:type="dcterms:W3CDTF">2026-08-26T23:37:04.413Z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