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IN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Marijo ĆAĆIĆ</w:t>
            </w:r>
          </w:p>
          <w:p>
            <w:pPr>
              <w:spacing w:after="0" w:before="0"/>
              <w:jc w:val="left"/>
            </w:pPr>
            <w:r>
              <w:rPr>
                <w:rFonts w:ascii="Times New Roman" w:hAnsi="Times New Roman"/>
                <w:b w:val="0"/>
                <w:i w:val="0"/>
                <w:sz w:val="18"/>
              </w:rPr>
              <w:t>https://orcid.org/0009-0008-7197-4263</w:t>
            </w:r>
          </w:p>
          <w:p>
            <w:pPr>
              <w:spacing w:after="0" w:before="0"/>
              <w:jc w:val="left"/>
            </w:pPr>
            <w:r>
              <w:rPr>
                <w:rFonts w:ascii="Times New Roman" w:hAnsi="Times New Roman"/>
                <w:b w:val="0"/>
                <w:i w:val="0"/>
                <w:sz w:val="18"/>
              </w:rPr>
              <w:t>Faculty of Food Technology and Biotechnology, University of Zagreb</w:t>
            </w:r>
          </w:p>
          <w:p>
            <w:pPr>
              <w:spacing w:after="0" w:before="0"/>
              <w:jc w:val="left"/>
            </w:pPr>
            <w:r>
              <w:rPr>
                <w:rFonts w:ascii="Times New Roman" w:hAnsi="Times New Roman"/>
                <w:b w:val="0"/>
                <w:i w:val="0"/>
                <w:sz w:val="18"/>
              </w:rPr>
              <w:t>The Town of Knin Administration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mcacic@pbf.hr</w:t>
            </w:r>
          </w:p>
          <w:p>
            <w:pPr>
              <w:spacing w:after="0" w:before="0"/>
              <w:jc w:val="left"/>
            </w:pPr>
            <w:r>
              <w:rPr>
                <w:rFonts w:ascii="Times New Roman" w:hAnsi="Times New Roman"/>
                <w:b/>
                <w:i w:val="0"/>
                <w:sz w:val="20"/>
              </w:rPr>
              <w:t>Ivan SORIĆ</w:t>
            </w:r>
          </w:p>
          <w:p>
            <w:pPr>
              <w:spacing w:after="0" w:before="0"/>
              <w:jc w:val="left"/>
            </w:pPr>
            <w:r>
              <w:rPr>
                <w:rFonts w:ascii="Times New Roman" w:hAnsi="Times New Roman"/>
                <w:b w:val="0"/>
                <w:i w:val="0"/>
                <w:sz w:val="18"/>
              </w:rPr>
              <w:t>https://orcid.org/0009-0009-1699-1973</w:t>
            </w:r>
          </w:p>
          <w:p>
            <w:pPr>
              <w:spacing w:after="0" w:before="0"/>
              <w:jc w:val="left"/>
            </w:pPr>
            <w:r>
              <w:rPr>
                <w:rFonts w:ascii="Times New Roman" w:hAnsi="Times New Roman"/>
                <w:b w:val="0"/>
                <w:i w:val="0"/>
                <w:sz w:val="18"/>
              </w:rPr>
              <w:t>Tourist Board of the Town of Knin</w:t>
            </w:r>
          </w:p>
          <w:p>
            <w:pPr>
              <w:spacing w:after="0" w:before="0"/>
              <w:jc w:val="left"/>
            </w:pPr>
            <w:r>
              <w:rPr>
                <w:rFonts w:ascii="Times New Roman" w:hAnsi="Times New Roman"/>
                <w:b w:val="0"/>
                <w:i w:val="0"/>
                <w:sz w:val="18"/>
              </w:rPr>
              <w:t>University of Zadar (doctoral programme)</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director@tz-knin.hr</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is analysed with STL decomposition, Gini coefficients, Herfindahl-Hirschman indices, segmented-trend break estimation with bootstrap inference, and SARIMA, ETS and Holt-Winters models validated by hold-out and rolling-origin evaluation and projected to 2030.</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Post-pandemic growth was steeper and specific to Knin (county arrivals stayed below 2019), but break dates have wide confidence intervals. Seasonality did not fall; the summer peak flattened into a longer summer. Foreign demand diversified across 12-17 effective markets, but average stay fell to two nights. Growth stalled in 2026, so projections to 2030 range from 5,800 to 12,200 arrivals.</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of overnight stays, and the summer peak is among the most pronounced in Europe (Duro &amp; Turrión-Prats, 2019; Payne, Nazlioglu, et al.,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et al., 2020). To the authors’ knowledge, no peer-reviewed study has analysed tourism in Knin.</w:t>
      </w:r>
    </w:p>
    <w:p>
      <w:pPr>
        <w:pStyle w:val="BodyText"/>
      </w:pPr>
      <w:r>
        <w:t xml:space="preserve">The paper addresses four research questions. RQ1: How much did tourism in Knin grow between 2016 and 2026, and did the growth path change in a statistically identifiable way around the COVID-19 pandemic and the 2023 adoption of the euro and entry into Schengen? RQ2: Did growth reduce the seasonal concentration of demand, in particular by spreading demand into the off-season? RQ3: How did the source-market structure change, and did diversification across markets go together with longer stays? RQ4: What range of arrivals and overnight stays do validated univariate forecasting models imply for 2030, and how reliable are such forecasts at the current turning point? The corresponding expectations, drawn from the literature reviewed in Section 1, are that growth after the pandemic followed a steeper path than before (H1), that growth spread demand into the off-season and lowered the Gini coefficient (H2), that diversification across markets was accompanied by longer stays (H3), and that damped and trend-extrapolating models diverge at a turning point (H4).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et al., 2017; Song et al., 2019). For small destinations with short monthly series and no local explanatory variables at monthly frequency, univariate time-series models remain the practical choice. The tourism forecasting competition of Athanasopoulos et al.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et al. (2017) forecast arrivals with seasonal ARIMA models, Tica and Kožić (2015) compared univariate and causal models of inbound demand, and Gil-Alana et al.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et al., 2016; Duro, 2016). Duro and Turrión-Prats (2019) found Croatia among the most seasonal destinations worldwide; Croatian studies confirmed this at national and county level (Kožić et al., 2013; Ružić &amp; Gavrić, 2026), and Payne, Gil-Alana, et al.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et al.,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et al., 2021; Škare et al., 2021), with recovery following different paths across destinations (Zhang et al., 2021). Payne et al. (2022) found that Croatian tourism series changed persistence after the pandemic, and Mikulić et al.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et al.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et al., 2023). Studies of the Dalmatian hinterland are few. Protega et al. (2007) examined the effect of the A1 motorway on tourism in Šibenik-Knin County; Radeljak Kaufmann (2020) found spillovers from Krka National Park to surrounding municipalities; Telbisz et al. (2022) surveyed Krka visitors, most of whom are coastal tourists on a day trip; Petrić et al. (2025) proposed cultural tourism villages as a development model for the hinterland; and Cerjak et al. (2026) analysed cultural heritage as a driver of rural tourism in Šibenik-Knin County. Opačić et al.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For comparison with the county and national level, monthly arrivals and overnight stays in commercial accommodation for Šibenik-Knin County and Croatia (Croatian Bureau of Statistics, 2026; table BS_TU12, January 2016 to August 2026) were retrieved through the PxWeb API; these series exclude non-commercial accommodation, so levels are not directly comparable with the Knin series, but growth rates are.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et al.,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change was examined on seasonally adjusted log arrivals (log series minus the STL seasonal component). Because the series trends, breaks were not estimated in the mean but in a segmented trend model with segment-specific intercept and slope: break dates for one to three breaks were estimated by dynamic programming with a minimum segment of 18 months, the exact algorithm of Bai and Perron (2003), and the number of breaks was selected by the BIC. The significance of a single break was tested with a supF statistic over the trimmed sample, with the p-value obtained from a sieve bootstrap under the null of no break (499 replications, AR(2) errors), and 90% confidence intervals for the break dates were obtained from a parametric bootstrap of the selected segmented model (299 replications). As a complementary check, breaks in the growth rate itself were estimated on the first difference of the adjusted series. Chow (1960) tests at March 2020, June 2021 and January 2023 are reported for comparison with the a priori dates but, on a trending series, they are expected to reject and are not used for inference. To test whether the Knin path is specific to Knin rather than a reflection of regional or national demand, the Knin series was indexed against the county and national series, and the log ratio of Knin to county arrivals was regressed on time for 2016-2019 and 2021-2025.</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Two validation designs were used. First, models were estimated on January 2016 to December 2024 and evaluated on the 21-month hold-out from January 2025 to September 2026 with MAPE, RMSE, MASE and cumulative bias (Hyndman &amp; Koehler, 2006). Second, because a single split at a turning point depends on that split, a rolling-origin evaluation (time-series cross-validation; Hyndman &amp; Athanasopoulos, 2021) was run for arrivals with 45 monthly origins from January 2022 to September 2025, refitting every model at each origin and scoring horizons 1 to 12 months. Final projections refit each model on the full sample and forecast to December 2030; annual totals for 2026 combine observed January-September values with forecasts for October-December. Prediction intervals for annual sums were obtained by simulating 1,000 sample paths from the SARIMA models and taking the 10th and 90th percentiles of the annual totals, since summing monthly quantiles would overstate the width. All computations were done in Python 3.13 (pandas, statsmodels, ruptures, SciPy, pyCirclize); code and data are available in the repository cited at the end.</w:t>
      </w:r>
    </w:p>
    <w:bookmarkEnd w:id="26"/>
    <w:bookmarkEnd w:id="27"/>
    <w:bookmarkStart w:id="51"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and 15.4%. Growth was not uniform: arrivals rose 43% from 2016 to 2019; 2020 brought a 39% fall in arrivals but only an 11% fall in overnight stays, because the few visitors stayed longer (ALOS 3.6 nights); 2021-2025 was a period of rapid expansion (arrivals +34.5% per year, overnight stays +31.8%), with the largest increases in 2023 (+59%) and 2024 (+45%). Growth decelerated to +7% arrivals in 2025 and stopped in 2026: arrivals in January-September 2026 were 5,346, 0.2% above the same months of 2025, and overnight stays 11,328, 4.6% above. The foreign share of arrivals rose from 49% in 2016 to 63-69% in 2019-2025 and fell back to 57% in 2026 as domestic arrivals grew 31% year on year while foreign arrivals fell 15%.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constant and trend, AIC lag selection, p = 0.68; KPSS with trend, automatic bandwidth, p = 0.10)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although with ten annual observations these tests have little power and can only rule out large changes, and the coefficient for overnight stays moved from 0.424 to 0.397 (tau = 0.02). The July-August share of arrivals fell from 43% in 2016 and 46% in 2021-2022 to 35% in 2025, and the seasonality ratio from 3.2 to 2.6. Figure 2 shows where the peak share went: to May, June and September, each of which gained two to four percentage points. The winter share (November-March) did not increase; it fell from 18% to 14%, and winter arrivals grew more slowly (CAGR 14.8%) than June-September arrivals (17.6%).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6"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to 37%; Germany rose from 4% to 11% and became the largest foreign market from 2019. Between 2019 and 2025 the fastest-growing markets were Austria (CAGR 36%), Slovenia (33%), Czechia (27%), Serbia (26%) and Germany (24%);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to 57-63%,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Table 3 shows the seasonal distribution of each of the ten largest markets for 2023 to September 2026. Croatian demand is spread over all seasons, with 27% of arrivals in November-March. Every foreign market is dominated by June-August, from 44% for Bosnia and Herzegovina and Slovenia to 71% for Italy. The shoulder seasons are served mainly by Slovenia, Austria, Germany and Poland in April-May and by Germany in September-October; winter foreign demand is negligible except from Bosnia and Herzegovina (19%) and Serbia (11%), whose winter arrivals reflect family and business ties. In January-September 2026 all six largest foreign markets were below 2025 (Germany -30%, France -39%, Bosnia and Herzegovina -28%, Serbia -21%, Austria -14%, Poland -8%); of the larger markets only Croatia (+31%), Slovenia (+30%) and the Netherlands (+11%) grew.</w:t>
      </w:r>
    </w:p>
    <w:p>
      <w:pPr>
        <w:pStyle w:val="BodyText"/>
        <w:keepNext/>
      </w:pPr>
      <w:r>
        <w:rPr>
          <w:bCs/>
          <w:b/>
        </w:rPr>
        <w:t xml:space="preserve">Table 3: Seasonal distribution of arrivals by source market, January 2023 to September 2026 (% of the market’s arrivals)</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Market</w:t>
            </w:r>
          </w:p>
        </w:tc>
        <w:tc>
          <w:tcPr/>
          <w:p>
            <w:pPr>
              <w:pStyle w:val="Compact"/>
              <w:jc w:val="right"/>
            </w:pPr>
            <w:r>
              <w:t xml:space="preserve">Nov-Mar</w:t>
            </w:r>
          </w:p>
        </w:tc>
        <w:tc>
          <w:tcPr/>
          <w:p>
            <w:pPr>
              <w:pStyle w:val="Compact"/>
              <w:jc w:val="right"/>
            </w:pPr>
            <w:r>
              <w:t xml:space="preserve">Apr-May</w:t>
            </w:r>
          </w:p>
        </w:tc>
        <w:tc>
          <w:tcPr/>
          <w:p>
            <w:pPr>
              <w:pStyle w:val="Compact"/>
              <w:jc w:val="right"/>
            </w:pPr>
            <w:r>
              <w:t xml:space="preserve">Jun-Aug</w:t>
            </w:r>
          </w:p>
        </w:tc>
        <w:tc>
          <w:tcPr/>
          <w:p>
            <w:pPr>
              <w:pStyle w:val="Compact"/>
              <w:jc w:val="right"/>
            </w:pPr>
            <w:r>
              <w:t xml:space="preserve">Sep-Oct</w:t>
            </w:r>
          </w:p>
        </w:tc>
        <w:tc>
          <w:tcPr/>
          <w:p>
            <w:pPr>
              <w:pStyle w:val="Compact"/>
              <w:jc w:val="right"/>
            </w:pPr>
            <w:r>
              <w:t xml:space="preserve">Arrivals 2023-2026</w:t>
            </w:r>
          </w:p>
        </w:tc>
      </w:tr>
      <w:tr>
        <w:tc>
          <w:tcPr/>
          <w:p>
            <w:pPr>
              <w:pStyle w:val="Compact"/>
              <w:jc w:val="left"/>
            </w:pPr>
            <w:r>
              <w:t xml:space="preserve">Croatia</w:t>
            </w:r>
          </w:p>
        </w:tc>
        <w:tc>
          <w:tcPr/>
          <w:p>
            <w:pPr>
              <w:pStyle w:val="Compact"/>
              <w:jc w:val="right"/>
            </w:pPr>
            <w:r>
              <w:t xml:space="preserve">26.7</w:t>
            </w:r>
          </w:p>
        </w:tc>
        <w:tc>
          <w:tcPr/>
          <w:p>
            <w:pPr>
              <w:pStyle w:val="Compact"/>
              <w:jc w:val="right"/>
            </w:pPr>
            <w:r>
              <w:t xml:space="preserve">18.1</w:t>
            </w:r>
          </w:p>
        </w:tc>
        <w:tc>
          <w:tcPr/>
          <w:p>
            <w:pPr>
              <w:pStyle w:val="Compact"/>
              <w:jc w:val="right"/>
            </w:pPr>
            <w:r>
              <w:t xml:space="preserve">37.1</w:t>
            </w:r>
          </w:p>
        </w:tc>
        <w:tc>
          <w:tcPr/>
          <w:p>
            <w:pPr>
              <w:pStyle w:val="Compact"/>
              <w:jc w:val="right"/>
            </w:pPr>
            <w:r>
              <w:t xml:space="preserve">18.0</w:t>
            </w:r>
          </w:p>
        </w:tc>
        <w:tc>
          <w:tcPr/>
          <w:p>
            <w:pPr>
              <w:pStyle w:val="Compact"/>
              <w:jc w:val="right"/>
            </w:pPr>
            <w:r>
              <w:t xml:space="preserve">7,716</w:t>
            </w:r>
          </w:p>
        </w:tc>
      </w:tr>
      <w:tr>
        <w:tc>
          <w:tcPr/>
          <w:p>
            <w:pPr>
              <w:pStyle w:val="Compact"/>
              <w:jc w:val="left"/>
            </w:pPr>
            <w:r>
              <w:t xml:space="preserve">Germany</w:t>
            </w:r>
          </w:p>
        </w:tc>
        <w:tc>
          <w:tcPr/>
          <w:p>
            <w:pPr>
              <w:pStyle w:val="Compact"/>
              <w:jc w:val="right"/>
            </w:pPr>
            <w:r>
              <w:t xml:space="preserve">4.5</w:t>
            </w:r>
          </w:p>
        </w:tc>
        <w:tc>
          <w:tcPr/>
          <w:p>
            <w:pPr>
              <w:pStyle w:val="Compact"/>
              <w:jc w:val="right"/>
            </w:pPr>
            <w:r>
              <w:t xml:space="preserve">21.6</w:t>
            </w:r>
          </w:p>
        </w:tc>
        <w:tc>
          <w:tcPr/>
          <w:p>
            <w:pPr>
              <w:pStyle w:val="Compact"/>
              <w:jc w:val="right"/>
            </w:pPr>
            <w:r>
              <w:t xml:space="preserve">52.8</w:t>
            </w:r>
          </w:p>
        </w:tc>
        <w:tc>
          <w:tcPr/>
          <w:p>
            <w:pPr>
              <w:pStyle w:val="Compact"/>
              <w:jc w:val="right"/>
            </w:pPr>
            <w:r>
              <w:t xml:space="preserve">21.2</w:t>
            </w:r>
          </w:p>
        </w:tc>
        <w:tc>
          <w:tcPr/>
          <w:p>
            <w:pPr>
              <w:pStyle w:val="Compact"/>
              <w:jc w:val="right"/>
            </w:pPr>
            <w:r>
              <w:t xml:space="preserve">2,088</w:t>
            </w:r>
          </w:p>
        </w:tc>
      </w:tr>
      <w:tr>
        <w:tc>
          <w:tcPr/>
          <w:p>
            <w:pPr>
              <w:pStyle w:val="Compact"/>
              <w:jc w:val="left"/>
            </w:pPr>
            <w:r>
              <w:t xml:space="preserve">Serbia</w:t>
            </w:r>
          </w:p>
        </w:tc>
        <w:tc>
          <w:tcPr/>
          <w:p>
            <w:pPr>
              <w:pStyle w:val="Compact"/>
              <w:jc w:val="right"/>
            </w:pPr>
            <w:r>
              <w:t xml:space="preserve">10.6</w:t>
            </w:r>
          </w:p>
        </w:tc>
        <w:tc>
          <w:tcPr/>
          <w:p>
            <w:pPr>
              <w:pStyle w:val="Compact"/>
              <w:jc w:val="right"/>
            </w:pPr>
            <w:r>
              <w:t xml:space="preserve">17.1</w:t>
            </w:r>
          </w:p>
        </w:tc>
        <w:tc>
          <w:tcPr/>
          <w:p>
            <w:pPr>
              <w:pStyle w:val="Compact"/>
              <w:jc w:val="right"/>
            </w:pPr>
            <w:r>
              <w:t xml:space="preserve">61.6</w:t>
            </w:r>
          </w:p>
        </w:tc>
        <w:tc>
          <w:tcPr/>
          <w:p>
            <w:pPr>
              <w:pStyle w:val="Compact"/>
              <w:jc w:val="right"/>
            </w:pPr>
            <w:r>
              <w:t xml:space="preserve">10.6</w:t>
            </w:r>
          </w:p>
        </w:tc>
        <w:tc>
          <w:tcPr/>
          <w:p>
            <w:pPr>
              <w:pStyle w:val="Compact"/>
              <w:jc w:val="right"/>
            </w:pPr>
            <w:r>
              <w:t xml:space="preserve">1,108</w:t>
            </w:r>
          </w:p>
        </w:tc>
      </w:tr>
      <w:tr>
        <w:tc>
          <w:tcPr/>
          <w:p>
            <w:pPr>
              <w:pStyle w:val="Compact"/>
              <w:jc w:val="left"/>
            </w:pPr>
            <w:r>
              <w:t xml:space="preserve">Poland</w:t>
            </w:r>
          </w:p>
        </w:tc>
        <w:tc>
          <w:tcPr/>
          <w:p>
            <w:pPr>
              <w:pStyle w:val="Compact"/>
              <w:jc w:val="right"/>
            </w:pPr>
            <w:r>
              <w:t xml:space="preserve">4.1</w:t>
            </w:r>
          </w:p>
        </w:tc>
        <w:tc>
          <w:tcPr/>
          <w:p>
            <w:pPr>
              <w:pStyle w:val="Compact"/>
              <w:jc w:val="right"/>
            </w:pPr>
            <w:r>
              <w:t xml:space="preserve">20.8</w:t>
            </w:r>
          </w:p>
        </w:tc>
        <w:tc>
          <w:tcPr/>
          <w:p>
            <w:pPr>
              <w:pStyle w:val="Compact"/>
              <w:jc w:val="right"/>
            </w:pPr>
            <w:r>
              <w:t xml:space="preserve">59.8</w:t>
            </w:r>
          </w:p>
        </w:tc>
        <w:tc>
          <w:tcPr/>
          <w:p>
            <w:pPr>
              <w:pStyle w:val="Compact"/>
              <w:jc w:val="right"/>
            </w:pPr>
            <w:r>
              <w:t xml:space="preserve">15.2</w:t>
            </w:r>
          </w:p>
        </w:tc>
        <w:tc>
          <w:tcPr/>
          <w:p>
            <w:pPr>
              <w:pStyle w:val="Compact"/>
              <w:jc w:val="right"/>
            </w:pPr>
            <w:r>
              <w:t xml:space="preserve">1,063</w:t>
            </w:r>
          </w:p>
        </w:tc>
      </w:tr>
      <w:tr>
        <w:tc>
          <w:tcPr/>
          <w:p>
            <w:pPr>
              <w:pStyle w:val="Compact"/>
              <w:jc w:val="left"/>
            </w:pPr>
            <w:r>
              <w:t xml:space="preserve">France</w:t>
            </w:r>
          </w:p>
        </w:tc>
        <w:tc>
          <w:tcPr/>
          <w:p>
            <w:pPr>
              <w:pStyle w:val="Compact"/>
              <w:jc w:val="right"/>
            </w:pPr>
            <w:r>
              <w:t xml:space="preserve">2.8</w:t>
            </w:r>
          </w:p>
        </w:tc>
        <w:tc>
          <w:tcPr/>
          <w:p>
            <w:pPr>
              <w:pStyle w:val="Compact"/>
              <w:jc w:val="right"/>
            </w:pPr>
            <w:r>
              <w:t xml:space="preserve">15.2</w:t>
            </w:r>
          </w:p>
        </w:tc>
        <w:tc>
          <w:tcPr/>
          <w:p>
            <w:pPr>
              <w:pStyle w:val="Compact"/>
              <w:jc w:val="right"/>
            </w:pPr>
            <w:r>
              <w:t xml:space="preserve">65.4</w:t>
            </w:r>
          </w:p>
        </w:tc>
        <w:tc>
          <w:tcPr/>
          <w:p>
            <w:pPr>
              <w:pStyle w:val="Compact"/>
              <w:jc w:val="right"/>
            </w:pPr>
            <w:r>
              <w:t xml:space="preserve">16.5</w:t>
            </w:r>
          </w:p>
        </w:tc>
        <w:tc>
          <w:tcPr/>
          <w:p>
            <w:pPr>
              <w:pStyle w:val="Compact"/>
              <w:jc w:val="right"/>
            </w:pPr>
            <w:r>
              <w:t xml:space="preserve">991</w:t>
            </w:r>
          </w:p>
        </w:tc>
      </w:tr>
      <w:tr>
        <w:tc>
          <w:tcPr/>
          <w:p>
            <w:pPr>
              <w:pStyle w:val="Compact"/>
              <w:jc w:val="left"/>
            </w:pPr>
            <w:r>
              <w:t xml:space="preserve">Czechia</w:t>
            </w:r>
          </w:p>
        </w:tc>
        <w:tc>
          <w:tcPr/>
          <w:p>
            <w:pPr>
              <w:pStyle w:val="Compact"/>
              <w:jc w:val="right"/>
            </w:pPr>
            <w:r>
              <w:t xml:space="preserve">3.7</w:t>
            </w:r>
          </w:p>
        </w:tc>
        <w:tc>
          <w:tcPr/>
          <w:p>
            <w:pPr>
              <w:pStyle w:val="Compact"/>
              <w:jc w:val="right"/>
            </w:pPr>
            <w:r>
              <w:t xml:space="preserve">20.2</w:t>
            </w:r>
          </w:p>
        </w:tc>
        <w:tc>
          <w:tcPr/>
          <w:p>
            <w:pPr>
              <w:pStyle w:val="Compact"/>
              <w:jc w:val="right"/>
            </w:pPr>
            <w:r>
              <w:t xml:space="preserve">60.0</w:t>
            </w:r>
          </w:p>
        </w:tc>
        <w:tc>
          <w:tcPr/>
          <w:p>
            <w:pPr>
              <w:pStyle w:val="Compact"/>
              <w:jc w:val="right"/>
            </w:pPr>
            <w:r>
              <w:t xml:space="preserve">16.0</w:t>
            </w:r>
          </w:p>
        </w:tc>
        <w:tc>
          <w:tcPr/>
          <w:p>
            <w:pPr>
              <w:pStyle w:val="Compact"/>
              <w:jc w:val="right"/>
            </w:pPr>
            <w:r>
              <w:t xml:space="preserve">835</w:t>
            </w:r>
          </w:p>
        </w:tc>
      </w:tr>
      <w:tr>
        <w:tc>
          <w:tcPr/>
          <w:p>
            <w:pPr>
              <w:pStyle w:val="Compact"/>
              <w:jc w:val="left"/>
            </w:pPr>
            <w:r>
              <w:t xml:space="preserve">Slovenia</w:t>
            </w:r>
          </w:p>
        </w:tc>
        <w:tc>
          <w:tcPr/>
          <w:p>
            <w:pPr>
              <w:pStyle w:val="Compact"/>
              <w:jc w:val="right"/>
            </w:pPr>
            <w:r>
              <w:t xml:space="preserve">9.4</w:t>
            </w:r>
          </w:p>
        </w:tc>
        <w:tc>
          <w:tcPr/>
          <w:p>
            <w:pPr>
              <w:pStyle w:val="Compact"/>
              <w:jc w:val="right"/>
            </w:pPr>
            <w:r>
              <w:t xml:space="preserve">28.3</w:t>
            </w:r>
          </w:p>
        </w:tc>
        <w:tc>
          <w:tcPr/>
          <w:p>
            <w:pPr>
              <w:pStyle w:val="Compact"/>
              <w:jc w:val="right"/>
            </w:pPr>
            <w:r>
              <w:t xml:space="preserve">43.5</w:t>
            </w:r>
          </w:p>
        </w:tc>
        <w:tc>
          <w:tcPr/>
          <w:p>
            <w:pPr>
              <w:pStyle w:val="Compact"/>
              <w:jc w:val="right"/>
            </w:pPr>
            <w:r>
              <w:t xml:space="preserve">18.8</w:t>
            </w:r>
          </w:p>
        </w:tc>
        <w:tc>
          <w:tcPr/>
          <w:p>
            <w:pPr>
              <w:pStyle w:val="Compact"/>
              <w:jc w:val="right"/>
            </w:pPr>
            <w:r>
              <w:t xml:space="preserve">711</w:t>
            </w:r>
          </w:p>
        </w:tc>
      </w:tr>
      <w:tr>
        <w:tc>
          <w:tcPr/>
          <w:p>
            <w:pPr>
              <w:pStyle w:val="Compact"/>
              <w:jc w:val="left"/>
            </w:pPr>
            <w:r>
              <w:t xml:space="preserve">Italy</w:t>
            </w:r>
          </w:p>
        </w:tc>
        <w:tc>
          <w:tcPr/>
          <w:p>
            <w:pPr>
              <w:pStyle w:val="Compact"/>
              <w:jc w:val="right"/>
            </w:pPr>
            <w:r>
              <w:t xml:space="preserve">7.5</w:t>
            </w:r>
          </w:p>
        </w:tc>
        <w:tc>
          <w:tcPr/>
          <w:p>
            <w:pPr>
              <w:pStyle w:val="Compact"/>
              <w:jc w:val="right"/>
            </w:pPr>
            <w:r>
              <w:t xml:space="preserve">11.0</w:t>
            </w:r>
          </w:p>
        </w:tc>
        <w:tc>
          <w:tcPr/>
          <w:p>
            <w:pPr>
              <w:pStyle w:val="Compact"/>
              <w:jc w:val="right"/>
            </w:pPr>
            <w:r>
              <w:t xml:space="preserve">71.1</w:t>
            </w:r>
          </w:p>
        </w:tc>
        <w:tc>
          <w:tcPr/>
          <w:p>
            <w:pPr>
              <w:pStyle w:val="Compact"/>
              <w:jc w:val="right"/>
            </w:pPr>
            <w:r>
              <w:t xml:space="preserve">10.4</w:t>
            </w:r>
          </w:p>
        </w:tc>
        <w:tc>
          <w:tcPr/>
          <w:p>
            <w:pPr>
              <w:pStyle w:val="Compact"/>
              <w:jc w:val="right"/>
            </w:pPr>
            <w:r>
              <w:t xml:space="preserve">709</w:t>
            </w:r>
          </w:p>
        </w:tc>
      </w:tr>
      <w:tr>
        <w:tc>
          <w:tcPr/>
          <w:p>
            <w:pPr>
              <w:pStyle w:val="Compact"/>
              <w:jc w:val="left"/>
            </w:pPr>
            <w:r>
              <w:t xml:space="preserve">Austria</w:t>
            </w:r>
          </w:p>
        </w:tc>
        <w:tc>
          <w:tcPr/>
          <w:p>
            <w:pPr>
              <w:pStyle w:val="Compact"/>
              <w:jc w:val="right"/>
            </w:pPr>
            <w:r>
              <w:t xml:space="preserve">4.3</w:t>
            </w:r>
          </w:p>
        </w:tc>
        <w:tc>
          <w:tcPr/>
          <w:p>
            <w:pPr>
              <w:pStyle w:val="Compact"/>
              <w:jc w:val="right"/>
            </w:pPr>
            <w:r>
              <w:t xml:space="preserve">25.7</w:t>
            </w:r>
          </w:p>
        </w:tc>
        <w:tc>
          <w:tcPr/>
          <w:p>
            <w:pPr>
              <w:pStyle w:val="Compact"/>
              <w:jc w:val="right"/>
            </w:pPr>
            <w:r>
              <w:t xml:space="preserve">51.6</w:t>
            </w:r>
          </w:p>
        </w:tc>
        <w:tc>
          <w:tcPr/>
          <w:p>
            <w:pPr>
              <w:pStyle w:val="Compact"/>
              <w:jc w:val="right"/>
            </w:pPr>
            <w:r>
              <w:t xml:space="preserve">18.4</w:t>
            </w:r>
          </w:p>
        </w:tc>
        <w:tc>
          <w:tcPr/>
          <w:p>
            <w:pPr>
              <w:pStyle w:val="Compact"/>
              <w:jc w:val="right"/>
            </w:pPr>
            <w:r>
              <w:t xml:space="preserve">680</w:t>
            </w:r>
          </w:p>
        </w:tc>
      </w:tr>
      <w:tr>
        <w:tc>
          <w:tcPr/>
          <w:p>
            <w:pPr>
              <w:pStyle w:val="Compact"/>
              <w:jc w:val="left"/>
            </w:pPr>
            <w:r>
              <w:t xml:space="preserve">Bosnia and Herzegovina</w:t>
            </w:r>
          </w:p>
        </w:tc>
        <w:tc>
          <w:tcPr/>
          <w:p>
            <w:pPr>
              <w:pStyle w:val="Compact"/>
              <w:jc w:val="right"/>
            </w:pPr>
            <w:r>
              <w:t xml:space="preserve">18.5</w:t>
            </w:r>
          </w:p>
        </w:tc>
        <w:tc>
          <w:tcPr/>
          <w:p>
            <w:pPr>
              <w:pStyle w:val="Compact"/>
              <w:jc w:val="right"/>
            </w:pPr>
            <w:r>
              <w:t xml:space="preserve">18.6</w:t>
            </w:r>
          </w:p>
        </w:tc>
        <w:tc>
          <w:tcPr/>
          <w:p>
            <w:pPr>
              <w:pStyle w:val="Compact"/>
              <w:jc w:val="right"/>
            </w:pPr>
            <w:r>
              <w:t xml:space="preserve">43.8</w:t>
            </w:r>
          </w:p>
        </w:tc>
        <w:tc>
          <w:tcPr/>
          <w:p>
            <w:pPr>
              <w:pStyle w:val="Compact"/>
              <w:jc w:val="right"/>
            </w:pPr>
            <w:r>
              <w:t xml:space="preserve">19.1</w:t>
            </w:r>
          </w:p>
        </w:tc>
        <w:tc>
          <w:tcPr/>
          <w:p>
            <w:pPr>
              <w:pStyle w:val="Compact"/>
              <w:jc w:val="right"/>
            </w:pPr>
            <w:r>
              <w:t xml:space="preserve">676</w:t>
            </w:r>
          </w:p>
        </w:tc>
      </w:tr>
      <w:tr>
        <w:tc>
          <w:tcPr/>
          <w:p>
            <w:pPr>
              <w:pStyle w:val="Compact"/>
              <w:jc w:val="left"/>
            </w:pPr>
            <w:r>
              <w:t xml:space="preserve">Other markets</w:t>
            </w:r>
          </w:p>
        </w:tc>
        <w:tc>
          <w:tcPr/>
          <w:p>
            <w:pPr>
              <w:pStyle w:val="Compact"/>
              <w:jc w:val="right"/>
            </w:pPr>
            <w:r>
              <w:t xml:space="preserve">5.4</w:t>
            </w:r>
          </w:p>
        </w:tc>
        <w:tc>
          <w:tcPr/>
          <w:p>
            <w:pPr>
              <w:pStyle w:val="Compact"/>
              <w:jc w:val="right"/>
            </w:pPr>
            <w:r>
              <w:t xml:space="preserve">16.2</w:t>
            </w:r>
          </w:p>
        </w:tc>
        <w:tc>
          <w:tcPr/>
          <w:p>
            <w:pPr>
              <w:pStyle w:val="Compact"/>
              <w:jc w:val="right"/>
            </w:pPr>
            <w:r>
              <w:t xml:space="preserve">60.7</w:t>
            </w:r>
          </w:p>
        </w:tc>
        <w:tc>
          <w:tcPr/>
          <w:p>
            <w:pPr>
              <w:pStyle w:val="Compact"/>
              <w:jc w:val="right"/>
            </w:pPr>
            <w:r>
              <w:t xml:space="preserve">17.6</w:t>
            </w:r>
          </w:p>
        </w:tc>
        <w:tc>
          <w:tcPr/>
          <w:p>
            <w:pPr>
              <w:pStyle w:val="Compact"/>
              <w:jc w:val="right"/>
            </w:pPr>
            <w:r>
              <w:t xml:space="preserve">4,682</w:t>
            </w:r>
          </w:p>
        </w:tc>
      </w:tr>
      <w:tr>
        <w:tc>
          <w:tcPr/>
          <w:p>
            <w:pPr>
              <w:pStyle w:val="Compact"/>
              <w:jc w:val="left"/>
            </w:pPr>
            <w:r>
              <w:t xml:space="preserve">All markets</w:t>
            </w:r>
          </w:p>
        </w:tc>
        <w:tc>
          <w:tcPr/>
          <w:p>
            <w:pPr>
              <w:pStyle w:val="Compact"/>
              <w:jc w:val="right"/>
            </w:pPr>
            <w:r>
              <w:t xml:space="preserve">13.7</w:t>
            </w:r>
          </w:p>
        </w:tc>
        <w:tc>
          <w:tcPr/>
          <w:p>
            <w:pPr>
              <w:pStyle w:val="Compact"/>
              <w:jc w:val="right"/>
            </w:pPr>
            <w:r>
              <w:t xml:space="preserve">18.4</w:t>
            </w:r>
          </w:p>
        </w:tc>
        <w:tc>
          <w:tcPr/>
          <w:p>
            <w:pPr>
              <w:pStyle w:val="Compact"/>
              <w:jc w:val="right"/>
            </w:pPr>
            <w:r>
              <w:t xml:space="preserve">50.5</w:t>
            </w:r>
          </w:p>
        </w:tc>
        <w:tc>
          <w:tcPr/>
          <w:p>
            <w:pPr>
              <w:pStyle w:val="Compact"/>
              <w:jc w:val="right"/>
            </w:pPr>
            <w:r>
              <w:t xml:space="preserve">17.4</w:t>
            </w:r>
          </w:p>
        </w:tc>
        <w:tc>
          <w:tcPr/>
          <w:p>
            <w:pPr>
              <w:pStyle w:val="Compact"/>
              <w:jc w:val="right"/>
            </w:pPr>
            <w:r>
              <w:t xml:space="preserve">21,259</w:t>
            </w:r>
          </w:p>
        </w:tc>
      </w:tr>
    </w:tbl>
    <w:p>
      <w:pPr>
        <w:pStyle w:val="Source"/>
      </w:pPr>
      <w:r>
        <w:t xml:space="preserve">Source: Authors’ calculation from e-Visitor data.</w:t>
      </w:r>
    </w:p>
    <w:bookmarkEnd w:id="36"/>
    <w:bookmarkStart w:id="43" w:name="structural-change"/>
    <w:p>
      <w:pPr>
        <w:pStyle w:val="Heading2"/>
      </w:pPr>
      <w:r>
        <w:t xml:space="preserve">3.4. Structural change</w:t>
      </w:r>
    </w:p>
    <w:p>
      <w:pPr>
        <w:pStyle w:val="FirstParagraph"/>
      </w:pPr>
      <w:r>
        <w:t xml:space="preserve">Figure 3 shows the seasonally adjusted series with the segmented log-linear trend. The BIC selects three breaks, dated May 2018, April 2020 and August 2024, but the improvement over one break is small (BIC -250.8 against -247.1 for one break and -212.2 for none). The four segments have annual trend growth of -18%, 9%, 54% and 9%: a declining start from a very small base, modest growth to the pandemic, a steep segment from April 2020 to August 2024 and a near plateau since. The bootstrap 90% confidence intervals for the break dates are wide, 2017-10 to 2019-07, 2019-12 to 2021-10 and 2022-02 to 2025-04, so the third break cannot be placed more precisely than</w:t>
      </w:r>
      <w:r>
        <w:t xml:space="preserve"> </w:t>
      </w:r>
      <w:r>
        <w:t xml:space="preserve">“</w:t>
      </w:r>
      <w:r>
        <w:t xml:space="preserve">between early 2022 and early 2025</w:t>
      </w:r>
      <w:r>
        <w:t xml:space="preserve">”</w:t>
      </w:r>
      <w:r>
        <w:t xml:space="preserve">. The supF test for a single break in the trend model is maximised in April 2020 (F = 29.2) with a bootstrap p-value of 0.054, marginal at the 5% level. Breaks in the growth rate itself are not supported: on the first difference of the adjusted series the BIC prefers no break (mean growth 15.5% per year over the whole sample), and the one- to three-break alternatives have higher BIC values. Chow tests at March 2020, June 2021 and January 2023 all reject (F = 28.1, 18.4 and 17.9, p &lt; 0.001), as expected on a trending series, and are not informative about the timing. Pre- and post-pandemic trend growth, estimated by OLS on 2016-2019 and on June 2021 to September 2026, was 16.8% and 32.7% per year.</w:t>
      </w:r>
    </w:p>
    <w:p>
      <w:pPr>
        <w:pStyle w:val="BodyText"/>
        <w:keepNext/>
      </w:pPr>
      <w:r>
        <w:rPr>
          <w:bCs/>
          <w:b/>
        </w:rPr>
        <w:t xml:space="preserve">Figure 3: Seasonally adjusted arrivals with segmented log-linear trend, estimated break dates and bootstrap 90% confidence intervals (shaded)</w:t>
      </w:r>
    </w:p>
    <w:p>
      <w:pPr>
        <w:pStyle w:val="BodyText"/>
      </w:pPr>
      <w:r>
        <w:drawing>
          <wp:inline>
            <wp:extent cx="5334000" cy="2214985"/>
            <wp:effectExtent b="0" l="0" r="0" t="0"/>
            <wp:docPr descr="" title="" id="38" name="Picture"/>
            <a:graphic>
              <a:graphicData uri="http://schemas.openxmlformats.org/drawingml/2006/picture">
                <pic:pic>
                  <pic:nvPicPr>
                    <pic:cNvPr descr="../figures/bw/rev_segmented_trend.png" id="39" name="Picture"/>
                    <pic:cNvPicPr>
                      <a:picLocks noChangeArrowheads="1" noChangeAspect="1"/>
                    </pic:cNvPicPr>
                  </pic:nvPicPr>
                  <pic:blipFill>
                    <a:blip r:embed="rId37"/>
                    <a:stretch>
                      <a:fillRect/>
                    </a:stretch>
                  </pic:blipFill>
                  <pic:spPr bwMode="auto">
                    <a:xfrm>
                      <a:off x="0" y="0"/>
                      <a:ext cx="5334000" cy="2214985"/>
                    </a:xfrm>
                    <a:prstGeom prst="rect">
                      <a:avLst/>
                    </a:prstGeom>
                    <a:noFill/>
                    <a:ln w="9525">
                      <a:noFill/>
                      <a:headEnd/>
                      <a:tailEnd/>
                    </a:ln>
                  </pic:spPr>
                </pic:pic>
              </a:graphicData>
            </a:graphic>
          </wp:inline>
        </w:drawing>
      </w:r>
    </w:p>
    <w:p>
      <w:pPr>
        <w:pStyle w:val="Source"/>
      </w:pPr>
      <w:r>
        <w:t xml:space="preserve">Source: Authors’ calculation. Breaks estimated by dynamic programming in a segmented trend model (Bai &amp; Perron, 2003); three breaks selected by BIC.</w:t>
      </w:r>
    </w:p>
    <w:p>
      <w:pPr>
        <w:pStyle w:val="BodyText"/>
      </w:pPr>
      <w:r>
        <w:t xml:space="preserve">The evidence for H1 is therefore qualified. A steeper post-pandemic segment is present in the fitted trend and in the OLS growth rates, but its start cannot be dated to a particular event, the single most prominent break in the trend model coincides with the pandemic trough rather than with 2023, and the growth rate shows no statistically distinct regime. The 2022-2024 acceleration is visible but is better described as a sustained episode within a volatile growth process than as a discrete regime shift. The comparison with official county and national series (Croatian Bureau of Statistics, 2026; Figure 4) shows that the Knin path is not a reflection of regional or national demand. Between 2019 and 2025 arrivals in commercial accommodation fell 4.3% in Šibenik-Knin County and rose 5.8% in Croatia, while arrivals in Knin rose 208%; between 2022 and 2025 the figures are +9.1%, +16.5% and +147%. Knin’s share of county arrivals rose from 0.20% in 2019 to 0.64% in 2025. The log ratio of Knin to county arrivals grew 3.5% per year in 2016-2019 (p = 0.48) and 28.7% per year in 2021-2025 (p = 0.008). In January-August 2026 Knin (+0.8%), the county (+2.3%) and Croatia (+1.6%) all stagnated. The acceleration is therefore local; what the data cannot do is attribute it to the euro and Schengen rather than to local supply or marketing, because all three changed in the same years.</w:t>
      </w:r>
    </w:p>
    <w:p>
      <w:pPr>
        <w:pStyle w:val="BodyText"/>
        <w:keepNext/>
      </w:pPr>
      <w:r>
        <w:rPr>
          <w:bCs/>
          <w:b/>
        </w:rPr>
        <w:t xml:space="preserve">Figure 4: Rolling 12-month arrivals, Knin (e-Visitor) against Šibenik-Knin County and Croatia (Croatian Bureau of Statistics, commercial accommodation), December 2019 = 100</w:t>
      </w:r>
    </w:p>
    <w:p>
      <w:pPr>
        <w:pStyle w:val="BodyText"/>
      </w:pPr>
      <w:r>
        <w:drawing>
          <wp:inline>
            <wp:extent cx="5334000" cy="2609791"/>
            <wp:effectExtent b="0" l="0" r="0" t="0"/>
            <wp:docPr descr="" title="" id="41" name="Picture"/>
            <a:graphic>
              <a:graphicData uri="http://schemas.openxmlformats.org/drawingml/2006/picture">
                <pic:pic>
                  <pic:nvPicPr>
                    <pic:cNvPr descr="../figures/bw/rev_dzs_index.png" id="42" name="Picture"/>
                    <pic:cNvPicPr>
                      <a:picLocks noChangeArrowheads="1" noChangeAspect="1"/>
                    </pic:cNvPicPr>
                  </pic:nvPicPr>
                  <pic:blipFill>
                    <a:blip r:embed="rId40"/>
                    <a:stretch>
                      <a:fillRect/>
                    </a:stretch>
                  </pic:blipFill>
                  <pic:spPr bwMode="auto">
                    <a:xfrm>
                      <a:off x="0" y="0"/>
                      <a:ext cx="5334000" cy="2609791"/>
                    </a:xfrm>
                    <a:prstGeom prst="rect">
                      <a:avLst/>
                    </a:prstGeom>
                    <a:noFill/>
                    <a:ln w="9525">
                      <a:noFill/>
                      <a:headEnd/>
                      <a:tailEnd/>
                    </a:ln>
                  </pic:spPr>
                </pic:pic>
              </a:graphicData>
            </a:graphic>
          </wp:inline>
        </w:drawing>
      </w:r>
    </w:p>
    <w:p>
      <w:pPr>
        <w:pStyle w:val="Source"/>
      </w:pPr>
      <w:r>
        <w:t xml:space="preserve">Source: Authors’ calculation from e-Visitor data and Croatian Bureau of Statistics (2026).</w:t>
      </w:r>
    </w:p>
    <w:bookmarkEnd w:id="43"/>
    <w:bookmarkStart w:id="50"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4 reports the hold-out accuracy. For arrivals the Holt-Winters model had the lowest MAPE (18.9%), the seasonal naive benchmark the lowest MASE (1.50) and the ETS model the smallest bias (-3.6%); for overnight stays the ETS model had the lowest MAPE (24.8%) and all models under-predicted by 20-36%, because the 2025 season brought a 23% increase that no model fitted to 2016-2024 anticipated. All MASE values exceed one, which is expected for a 21-month horizon but also reflects the turning point in 2026: every model, including the seasonal naive benchmark, over-predicted June to August 2026, when arrivals fell 12-20% below 2025 after January-May had been 24-56% above (Figure 5).</w:t>
      </w:r>
    </w:p>
    <w:p>
      <w:pPr>
        <w:pStyle w:val="BodyText"/>
        <w:keepNext/>
      </w:pPr>
      <w:r>
        <w:rPr>
          <w:bCs/>
          <w:b/>
        </w:rPr>
        <w:t xml:space="preserve">Table 4: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 (arrivals/month)</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 (nights/month)</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5: Out-of-sample validation of monthly arrival forecasts, models fitted on 2016-2024</w:t>
      </w:r>
    </w:p>
    <w:p>
      <w:pPr>
        <w:pStyle w:val="BodyText"/>
      </w:pPr>
      <w:r>
        <w:drawing>
          <wp:inline>
            <wp:extent cx="5334000" cy="2580900"/>
            <wp:effectExtent b="0" l="0" r="0" t="0"/>
            <wp:docPr descr="" title="" id="45" name="Picture"/>
            <a:graphic>
              <a:graphicData uri="http://schemas.openxmlformats.org/drawingml/2006/picture">
                <pic:pic>
                  <pic:nvPicPr>
                    <pic:cNvPr descr="../figures/bw/fig7_validation.png" id="46" name="Picture"/>
                    <pic:cNvPicPr>
                      <a:picLocks noChangeArrowheads="1" noChangeAspect="1"/>
                    </pic:cNvPicPr>
                  </pic:nvPicPr>
                  <pic:blipFill>
                    <a:blip r:embed="rId44"/>
                    <a:stretch>
                      <a:fillRect/>
                    </a:stretch>
                  </pic:blipFill>
                  <pic:spPr bwMode="auto">
                    <a:xfrm>
                      <a:off x="0" y="0"/>
                      <a:ext cx="5334000" cy="2580900"/>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The rolling-origin evaluation (Table 5) confirms that the single split is not an artefact. Across 45 origins and horizons 1 to 12, the seasonal naive benchmark has the lowest MASE (2.54) and MAPE (32.4%), followed by the combination (2.67; 34.4%), Holt-Winters, ETS and SARIMA (2.73; 34.6%). The model-based forecasts beat the benchmark only at horizons 5 to 8 months, where the ETS and combination forecasts are best; at horizons 1 to 4 and 9 to 12 the benchmark wins. MASE values above two at every horizon reflect the scale: the in-sample seasonal naive error comes mostly from the small, stable years before 2022. The practical reading is that no univariate model extracts much more than last year’s seasonal pattern from a series of this size during a period of rapid change, which is consistent with the tourism forecasting competition (Athanasopoulos et al., 2011), and that combinations are a safe default.</w:t>
      </w:r>
    </w:p>
    <w:p>
      <w:pPr>
        <w:pStyle w:val="BodyText"/>
        <w:keepNext/>
      </w:pPr>
      <w:r>
        <w:rPr>
          <w:bCs/>
          <w:b/>
        </w:rPr>
        <w:t xml:space="preserve">Table 5: Rolling-origin evaluation of arrival forecasts, MASE by forecast horizon (45 origins, January 2022 to September 2025)</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Horizon (months)</w:t>
            </w:r>
          </w:p>
        </w:tc>
        <w:tc>
          <w:tcPr/>
          <w:p>
            <w:pPr>
              <w:pStyle w:val="Compact"/>
              <w:jc w:val="right"/>
            </w:pPr>
            <w:r>
              <w:t xml:space="preserve">SARIMA</w:t>
            </w:r>
          </w:p>
        </w:tc>
        <w:tc>
          <w:tcPr/>
          <w:p>
            <w:pPr>
              <w:pStyle w:val="Compact"/>
              <w:jc w:val="right"/>
            </w:pPr>
            <w:r>
              <w:t xml:space="preserve">ETS</w:t>
            </w:r>
          </w:p>
        </w:tc>
        <w:tc>
          <w:tcPr/>
          <w:p>
            <w:pPr>
              <w:pStyle w:val="Compact"/>
              <w:jc w:val="right"/>
            </w:pPr>
            <w:r>
              <w:t xml:space="preserve">Holt-Winters</w:t>
            </w:r>
          </w:p>
        </w:tc>
        <w:tc>
          <w:tcPr/>
          <w:p>
            <w:pPr>
              <w:pStyle w:val="Compact"/>
              <w:jc w:val="right"/>
            </w:pPr>
            <w:r>
              <w:t xml:space="preserve">Seasonal naive</w:t>
            </w:r>
          </w:p>
        </w:tc>
        <w:tc>
          <w:tcPr/>
          <w:p>
            <w:pPr>
              <w:pStyle w:val="Compact"/>
              <w:jc w:val="right"/>
            </w:pPr>
            <w:r>
              <w:t xml:space="preserve">Combination</w:t>
            </w:r>
          </w:p>
        </w:tc>
      </w:tr>
      <w:tr>
        <w:tc>
          <w:tcPr/>
          <w:p>
            <w:pPr>
              <w:pStyle w:val="Compact"/>
              <w:jc w:val="left"/>
            </w:pPr>
            <w:r>
              <w:t xml:space="preserve">1</w:t>
            </w:r>
          </w:p>
        </w:tc>
        <w:tc>
          <w:tcPr/>
          <w:p>
            <w:pPr>
              <w:pStyle w:val="Compact"/>
              <w:jc w:val="right"/>
            </w:pPr>
            <w:r>
              <w:t xml:space="preserve">2.63</w:t>
            </w:r>
          </w:p>
        </w:tc>
        <w:tc>
          <w:tcPr/>
          <w:p>
            <w:pPr>
              <w:pStyle w:val="Compact"/>
              <w:jc w:val="right"/>
            </w:pPr>
            <w:r>
              <w:t xml:space="preserve">2.82</w:t>
            </w:r>
          </w:p>
        </w:tc>
        <w:tc>
          <w:tcPr/>
          <w:p>
            <w:pPr>
              <w:pStyle w:val="Compact"/>
              <w:jc w:val="right"/>
            </w:pPr>
            <w:r>
              <w:t xml:space="preserve">2.71</w:t>
            </w:r>
          </w:p>
        </w:tc>
        <w:tc>
          <w:tcPr/>
          <w:p>
            <w:pPr>
              <w:pStyle w:val="Compact"/>
              <w:jc w:val="right"/>
            </w:pPr>
            <w:r>
              <w:t xml:space="preserve">2.29</w:t>
            </w:r>
          </w:p>
        </w:tc>
        <w:tc>
          <w:tcPr/>
          <w:p>
            <w:pPr>
              <w:pStyle w:val="Compact"/>
              <w:jc w:val="right"/>
            </w:pPr>
            <w:r>
              <w:t xml:space="preserve">2.69</w:t>
            </w:r>
          </w:p>
        </w:tc>
      </w:tr>
      <w:tr>
        <w:tc>
          <w:tcPr/>
          <w:p>
            <w:pPr>
              <w:pStyle w:val="Compact"/>
              <w:jc w:val="left"/>
            </w:pPr>
            <w:r>
              <w:t xml:space="preserve">2</w:t>
            </w:r>
          </w:p>
        </w:tc>
        <w:tc>
          <w:tcPr/>
          <w:p>
            <w:pPr>
              <w:pStyle w:val="Compact"/>
              <w:jc w:val="right"/>
            </w:pPr>
            <w:r>
              <w:t xml:space="preserve">2.72</w:t>
            </w:r>
          </w:p>
        </w:tc>
        <w:tc>
          <w:tcPr/>
          <w:p>
            <w:pPr>
              <w:pStyle w:val="Compact"/>
              <w:jc w:val="right"/>
            </w:pPr>
            <w:r>
              <w:t xml:space="preserve">2.87</w:t>
            </w:r>
          </w:p>
        </w:tc>
        <w:tc>
          <w:tcPr/>
          <w:p>
            <w:pPr>
              <w:pStyle w:val="Compact"/>
              <w:jc w:val="right"/>
            </w:pPr>
            <w:r>
              <w:t xml:space="preserve">2.80</w:t>
            </w:r>
          </w:p>
        </w:tc>
        <w:tc>
          <w:tcPr/>
          <w:p>
            <w:pPr>
              <w:pStyle w:val="Compact"/>
              <w:jc w:val="right"/>
            </w:pPr>
            <w:r>
              <w:t xml:space="preserve">2.42</w:t>
            </w:r>
          </w:p>
        </w:tc>
        <w:tc>
          <w:tcPr/>
          <w:p>
            <w:pPr>
              <w:pStyle w:val="Compact"/>
              <w:jc w:val="right"/>
            </w:pPr>
            <w:r>
              <w:t xml:space="preserve">2.77</w:t>
            </w:r>
          </w:p>
        </w:tc>
      </w:tr>
      <w:tr>
        <w:tc>
          <w:tcPr/>
          <w:p>
            <w:pPr>
              <w:pStyle w:val="Compact"/>
              <w:jc w:val="left"/>
            </w:pPr>
            <w:r>
              <w:t xml:space="preserve">3</w:t>
            </w:r>
          </w:p>
        </w:tc>
        <w:tc>
          <w:tcPr/>
          <w:p>
            <w:pPr>
              <w:pStyle w:val="Compact"/>
              <w:jc w:val="right"/>
            </w:pPr>
            <w:r>
              <w:t xml:space="preserve">2.62</w:t>
            </w:r>
          </w:p>
        </w:tc>
        <w:tc>
          <w:tcPr/>
          <w:p>
            <w:pPr>
              <w:pStyle w:val="Compact"/>
              <w:jc w:val="right"/>
            </w:pPr>
            <w:r>
              <w:t xml:space="preserve">2.74</w:t>
            </w:r>
          </w:p>
        </w:tc>
        <w:tc>
          <w:tcPr/>
          <w:p>
            <w:pPr>
              <w:pStyle w:val="Compact"/>
              <w:jc w:val="right"/>
            </w:pPr>
            <w:r>
              <w:t xml:space="preserve">2.60</w:t>
            </w:r>
          </w:p>
        </w:tc>
        <w:tc>
          <w:tcPr/>
          <w:p>
            <w:pPr>
              <w:pStyle w:val="Compact"/>
              <w:jc w:val="right"/>
            </w:pPr>
            <w:r>
              <w:t xml:space="preserve">2.47</w:t>
            </w:r>
          </w:p>
        </w:tc>
        <w:tc>
          <w:tcPr/>
          <w:p>
            <w:pPr>
              <w:pStyle w:val="Compact"/>
              <w:jc w:val="right"/>
            </w:pPr>
            <w:r>
              <w:t xml:space="preserve">2.64</w:t>
            </w:r>
          </w:p>
        </w:tc>
      </w:tr>
      <w:tr>
        <w:tc>
          <w:tcPr/>
          <w:p>
            <w:pPr>
              <w:pStyle w:val="Compact"/>
              <w:jc w:val="left"/>
            </w:pPr>
            <w:r>
              <w:t xml:space="preserve">4</w:t>
            </w:r>
          </w:p>
        </w:tc>
        <w:tc>
          <w:tcPr/>
          <w:p>
            <w:pPr>
              <w:pStyle w:val="Compact"/>
              <w:jc w:val="right"/>
            </w:pPr>
            <w:r>
              <w:t xml:space="preserve">2.61</w:t>
            </w:r>
          </w:p>
        </w:tc>
        <w:tc>
          <w:tcPr/>
          <w:p>
            <w:pPr>
              <w:pStyle w:val="Compact"/>
              <w:jc w:val="right"/>
            </w:pPr>
            <w:r>
              <w:t xml:space="preserve">2.67</w:t>
            </w:r>
          </w:p>
        </w:tc>
        <w:tc>
          <w:tcPr/>
          <w:p>
            <w:pPr>
              <w:pStyle w:val="Compact"/>
              <w:jc w:val="right"/>
            </w:pPr>
            <w:r>
              <w:t xml:space="preserve">2.63</w:t>
            </w:r>
          </w:p>
        </w:tc>
        <w:tc>
          <w:tcPr/>
          <w:p>
            <w:pPr>
              <w:pStyle w:val="Compact"/>
              <w:jc w:val="right"/>
            </w:pPr>
            <w:r>
              <w:t xml:space="preserve">2.55</w:t>
            </w:r>
          </w:p>
        </w:tc>
        <w:tc>
          <w:tcPr/>
          <w:p>
            <w:pPr>
              <w:pStyle w:val="Compact"/>
              <w:jc w:val="right"/>
            </w:pPr>
            <w:r>
              <w:t xml:space="preserve">2.62</w:t>
            </w:r>
          </w:p>
        </w:tc>
      </w:tr>
      <w:tr>
        <w:tc>
          <w:tcPr/>
          <w:p>
            <w:pPr>
              <w:pStyle w:val="Compact"/>
              <w:jc w:val="left"/>
            </w:pPr>
            <w:r>
              <w:t xml:space="preserve">5</w:t>
            </w:r>
          </w:p>
        </w:tc>
        <w:tc>
          <w:tcPr/>
          <w:p>
            <w:pPr>
              <w:pStyle w:val="Compact"/>
              <w:jc w:val="right"/>
            </w:pPr>
            <w:r>
              <w:t xml:space="preserve">2.50</w:t>
            </w:r>
          </w:p>
        </w:tc>
        <w:tc>
          <w:tcPr/>
          <w:p>
            <w:pPr>
              <w:pStyle w:val="Compact"/>
              <w:jc w:val="right"/>
            </w:pPr>
            <w:r>
              <w:t xml:space="preserve">2.41</w:t>
            </w:r>
          </w:p>
        </w:tc>
        <w:tc>
          <w:tcPr/>
          <w:p>
            <w:pPr>
              <w:pStyle w:val="Compact"/>
              <w:jc w:val="right"/>
            </w:pPr>
            <w:r>
              <w:t xml:space="preserve">2.46</w:t>
            </w:r>
          </w:p>
        </w:tc>
        <w:tc>
          <w:tcPr/>
          <w:p>
            <w:pPr>
              <w:pStyle w:val="Compact"/>
              <w:jc w:val="right"/>
            </w:pPr>
            <w:r>
              <w:t xml:space="preserve">2.60</w:t>
            </w:r>
          </w:p>
        </w:tc>
        <w:tc>
          <w:tcPr/>
          <w:p>
            <w:pPr>
              <w:pStyle w:val="Compact"/>
              <w:jc w:val="right"/>
            </w:pPr>
            <w:r>
              <w:t xml:space="preserve">2.45</w:t>
            </w:r>
          </w:p>
        </w:tc>
      </w:tr>
      <w:tr>
        <w:tc>
          <w:tcPr/>
          <w:p>
            <w:pPr>
              <w:pStyle w:val="Compact"/>
              <w:jc w:val="left"/>
            </w:pPr>
            <w:r>
              <w:t xml:space="preserve">6</w:t>
            </w:r>
          </w:p>
        </w:tc>
        <w:tc>
          <w:tcPr/>
          <w:p>
            <w:pPr>
              <w:pStyle w:val="Compact"/>
              <w:jc w:val="right"/>
            </w:pPr>
            <w:r>
              <w:t xml:space="preserve">2.49</w:t>
            </w:r>
          </w:p>
        </w:tc>
        <w:tc>
          <w:tcPr/>
          <w:p>
            <w:pPr>
              <w:pStyle w:val="Compact"/>
              <w:jc w:val="right"/>
            </w:pPr>
            <w:r>
              <w:t xml:space="preserve">2.33</w:t>
            </w:r>
          </w:p>
        </w:tc>
        <w:tc>
          <w:tcPr/>
          <w:p>
            <w:pPr>
              <w:pStyle w:val="Compact"/>
              <w:jc w:val="right"/>
            </w:pPr>
            <w:r>
              <w:t xml:space="preserve">2.46</w:t>
            </w:r>
          </w:p>
        </w:tc>
        <w:tc>
          <w:tcPr/>
          <w:p>
            <w:pPr>
              <w:pStyle w:val="Compact"/>
              <w:jc w:val="right"/>
            </w:pPr>
            <w:r>
              <w:t xml:space="preserve">2.64</w:t>
            </w:r>
          </w:p>
        </w:tc>
        <w:tc>
          <w:tcPr/>
          <w:p>
            <w:pPr>
              <w:pStyle w:val="Compact"/>
              <w:jc w:val="right"/>
            </w:pPr>
            <w:r>
              <w:t xml:space="preserve">2.40</w:t>
            </w:r>
          </w:p>
        </w:tc>
      </w:tr>
      <w:tr>
        <w:tc>
          <w:tcPr/>
          <w:p>
            <w:pPr>
              <w:pStyle w:val="Compact"/>
              <w:jc w:val="left"/>
            </w:pPr>
            <w:r>
              <w:t xml:space="preserve">7</w:t>
            </w:r>
          </w:p>
        </w:tc>
        <w:tc>
          <w:tcPr/>
          <w:p>
            <w:pPr>
              <w:pStyle w:val="Compact"/>
              <w:jc w:val="right"/>
            </w:pPr>
            <w:r>
              <w:t xml:space="preserve">2.63</w:t>
            </w:r>
          </w:p>
        </w:tc>
        <w:tc>
          <w:tcPr/>
          <w:p>
            <w:pPr>
              <w:pStyle w:val="Compact"/>
              <w:jc w:val="right"/>
            </w:pPr>
            <w:r>
              <w:t xml:space="preserve">2.56</w:t>
            </w:r>
          </w:p>
        </w:tc>
        <w:tc>
          <w:tcPr/>
          <w:p>
            <w:pPr>
              <w:pStyle w:val="Compact"/>
              <w:jc w:val="right"/>
            </w:pPr>
            <w:r>
              <w:t xml:space="preserve">2.72</w:t>
            </w:r>
          </w:p>
        </w:tc>
        <w:tc>
          <w:tcPr/>
          <w:p>
            <w:pPr>
              <w:pStyle w:val="Compact"/>
              <w:jc w:val="right"/>
            </w:pPr>
            <w:r>
              <w:t xml:space="preserve">2.63</w:t>
            </w:r>
          </w:p>
        </w:tc>
        <w:tc>
          <w:tcPr/>
          <w:p>
            <w:pPr>
              <w:pStyle w:val="Compact"/>
              <w:jc w:val="right"/>
            </w:pPr>
            <w:r>
              <w:t xml:space="preserve">2.61</w:t>
            </w:r>
          </w:p>
        </w:tc>
      </w:tr>
      <w:tr>
        <w:tc>
          <w:tcPr/>
          <w:p>
            <w:pPr>
              <w:pStyle w:val="Compact"/>
              <w:jc w:val="left"/>
            </w:pPr>
            <w:r>
              <w:t xml:space="preserve">8</w:t>
            </w:r>
          </w:p>
        </w:tc>
        <w:tc>
          <w:tcPr/>
          <w:p>
            <w:pPr>
              <w:pStyle w:val="Compact"/>
              <w:jc w:val="right"/>
            </w:pPr>
            <w:r>
              <w:t xml:space="preserve">2.77</w:t>
            </w:r>
          </w:p>
        </w:tc>
        <w:tc>
          <w:tcPr/>
          <w:p>
            <w:pPr>
              <w:pStyle w:val="Compact"/>
              <w:jc w:val="right"/>
            </w:pPr>
            <w:r>
              <w:t xml:space="preserve">2.68</w:t>
            </w:r>
          </w:p>
        </w:tc>
        <w:tc>
          <w:tcPr/>
          <w:p>
            <w:pPr>
              <w:pStyle w:val="Compact"/>
              <w:jc w:val="right"/>
            </w:pPr>
            <w:r>
              <w:t xml:space="preserve">2.83</w:t>
            </w:r>
          </w:p>
        </w:tc>
        <w:tc>
          <w:tcPr/>
          <w:p>
            <w:pPr>
              <w:pStyle w:val="Compact"/>
              <w:jc w:val="right"/>
            </w:pPr>
            <w:r>
              <w:t xml:space="preserve">2.67</w:t>
            </w:r>
          </w:p>
        </w:tc>
        <w:tc>
          <w:tcPr/>
          <w:p>
            <w:pPr>
              <w:pStyle w:val="Compact"/>
              <w:jc w:val="right"/>
            </w:pPr>
            <w:r>
              <w:t xml:space="preserve">2.72</w:t>
            </w:r>
          </w:p>
        </w:tc>
      </w:tr>
      <w:tr>
        <w:tc>
          <w:tcPr/>
          <w:p>
            <w:pPr>
              <w:pStyle w:val="Compact"/>
              <w:jc w:val="left"/>
            </w:pPr>
            <w:r>
              <w:t xml:space="preserve">9</w:t>
            </w:r>
          </w:p>
        </w:tc>
        <w:tc>
          <w:tcPr/>
          <w:p>
            <w:pPr>
              <w:pStyle w:val="Compact"/>
              <w:jc w:val="right"/>
            </w:pPr>
            <w:r>
              <w:t xml:space="preserve">2.66</w:t>
            </w:r>
          </w:p>
        </w:tc>
        <w:tc>
          <w:tcPr/>
          <w:p>
            <w:pPr>
              <w:pStyle w:val="Compact"/>
              <w:jc w:val="right"/>
            </w:pPr>
            <w:r>
              <w:t xml:space="preserve">2.59</w:t>
            </w:r>
          </w:p>
        </w:tc>
        <w:tc>
          <w:tcPr/>
          <w:p>
            <w:pPr>
              <w:pStyle w:val="Compact"/>
              <w:jc w:val="right"/>
            </w:pPr>
            <w:r>
              <w:t xml:space="preserve">2.65</w:t>
            </w:r>
          </w:p>
        </w:tc>
        <w:tc>
          <w:tcPr/>
          <w:p>
            <w:pPr>
              <w:pStyle w:val="Compact"/>
              <w:jc w:val="right"/>
            </w:pPr>
            <w:r>
              <w:t xml:space="preserve">2.46</w:t>
            </w:r>
          </w:p>
        </w:tc>
        <w:tc>
          <w:tcPr/>
          <w:p>
            <w:pPr>
              <w:pStyle w:val="Compact"/>
              <w:jc w:val="right"/>
            </w:pPr>
            <w:r>
              <w:t xml:space="preserve">2.60</w:t>
            </w:r>
          </w:p>
        </w:tc>
      </w:tr>
      <w:tr>
        <w:tc>
          <w:tcPr/>
          <w:p>
            <w:pPr>
              <w:pStyle w:val="Compact"/>
              <w:jc w:val="left"/>
            </w:pPr>
            <w:r>
              <w:t xml:space="preserve">10</w:t>
            </w:r>
          </w:p>
        </w:tc>
        <w:tc>
          <w:tcPr/>
          <w:p>
            <w:pPr>
              <w:pStyle w:val="Compact"/>
              <w:jc w:val="right"/>
            </w:pPr>
            <w:r>
              <w:t xml:space="preserve">2.79</w:t>
            </w:r>
          </w:p>
        </w:tc>
        <w:tc>
          <w:tcPr/>
          <w:p>
            <w:pPr>
              <w:pStyle w:val="Compact"/>
              <w:jc w:val="right"/>
            </w:pPr>
            <w:r>
              <w:t xml:space="preserve">2.68</w:t>
            </w:r>
          </w:p>
        </w:tc>
        <w:tc>
          <w:tcPr/>
          <w:p>
            <w:pPr>
              <w:pStyle w:val="Compact"/>
              <w:jc w:val="right"/>
            </w:pPr>
            <w:r>
              <w:t xml:space="preserve">2.71</w:t>
            </w:r>
          </w:p>
        </w:tc>
        <w:tc>
          <w:tcPr/>
          <w:p>
            <w:pPr>
              <w:pStyle w:val="Compact"/>
              <w:jc w:val="right"/>
            </w:pPr>
            <w:r>
              <w:t xml:space="preserve">2.43</w:t>
            </w:r>
          </w:p>
        </w:tc>
        <w:tc>
          <w:tcPr/>
          <w:p>
            <w:pPr>
              <w:pStyle w:val="Compact"/>
              <w:jc w:val="right"/>
            </w:pPr>
            <w:r>
              <w:t xml:space="preserve">2.68</w:t>
            </w:r>
          </w:p>
        </w:tc>
      </w:tr>
      <w:tr>
        <w:tc>
          <w:tcPr/>
          <w:p>
            <w:pPr>
              <w:pStyle w:val="Compact"/>
              <w:jc w:val="left"/>
            </w:pPr>
            <w:r>
              <w:t xml:space="preserve">11</w:t>
            </w:r>
          </w:p>
        </w:tc>
        <w:tc>
          <w:tcPr/>
          <w:p>
            <w:pPr>
              <w:pStyle w:val="Compact"/>
              <w:jc w:val="right"/>
            </w:pPr>
            <w:r>
              <w:t xml:space="preserve">3.08</w:t>
            </w:r>
          </w:p>
        </w:tc>
        <w:tc>
          <w:tcPr/>
          <w:p>
            <w:pPr>
              <w:pStyle w:val="Compact"/>
              <w:jc w:val="right"/>
            </w:pPr>
            <w:r>
              <w:t xml:space="preserve">2.85</w:t>
            </w:r>
          </w:p>
        </w:tc>
        <w:tc>
          <w:tcPr/>
          <w:p>
            <w:pPr>
              <w:pStyle w:val="Compact"/>
              <w:jc w:val="right"/>
            </w:pPr>
            <w:r>
              <w:t xml:space="preserve">2.78</w:t>
            </w:r>
          </w:p>
        </w:tc>
        <w:tc>
          <w:tcPr/>
          <w:p>
            <w:pPr>
              <w:pStyle w:val="Compact"/>
              <w:jc w:val="right"/>
            </w:pPr>
            <w:r>
              <w:t xml:space="preserve">2.59</w:t>
            </w:r>
          </w:p>
        </w:tc>
        <w:tc>
          <w:tcPr/>
          <w:p>
            <w:pPr>
              <w:pStyle w:val="Compact"/>
              <w:jc w:val="right"/>
            </w:pPr>
            <w:r>
              <w:t xml:space="preserve">2.87</w:t>
            </w:r>
          </w:p>
        </w:tc>
      </w:tr>
      <w:tr>
        <w:tc>
          <w:tcPr/>
          <w:p>
            <w:pPr>
              <w:pStyle w:val="Compact"/>
              <w:jc w:val="left"/>
            </w:pPr>
            <w:r>
              <w:t xml:space="preserve">12</w:t>
            </w:r>
          </w:p>
        </w:tc>
        <w:tc>
          <w:tcPr/>
          <w:p>
            <w:pPr>
              <w:pStyle w:val="Compact"/>
              <w:jc w:val="right"/>
            </w:pPr>
            <w:r>
              <w:t xml:space="preserve">3.21</w:t>
            </w:r>
          </w:p>
        </w:tc>
        <w:tc>
          <w:tcPr/>
          <w:p>
            <w:pPr>
              <w:pStyle w:val="Compact"/>
              <w:jc w:val="right"/>
            </w:pPr>
            <w:r>
              <w:t xml:space="preserve">3.06</w:t>
            </w:r>
          </w:p>
        </w:tc>
        <w:tc>
          <w:tcPr/>
          <w:p>
            <w:pPr>
              <w:pStyle w:val="Compact"/>
              <w:jc w:val="right"/>
            </w:pPr>
            <w:r>
              <w:t xml:space="preserve">2.85</w:t>
            </w:r>
          </w:p>
        </w:tc>
        <w:tc>
          <w:tcPr/>
          <w:p>
            <w:pPr>
              <w:pStyle w:val="Compact"/>
              <w:jc w:val="right"/>
            </w:pPr>
            <w:r>
              <w:t xml:space="preserve">2.71</w:t>
            </w:r>
          </w:p>
        </w:tc>
        <w:tc>
          <w:tcPr/>
          <w:p>
            <w:pPr>
              <w:pStyle w:val="Compact"/>
              <w:jc w:val="right"/>
            </w:pPr>
            <w:r>
              <w:t xml:space="preserve">2.99</w:t>
            </w:r>
          </w:p>
        </w:tc>
      </w:tr>
      <w:tr>
        <w:tc>
          <w:tcPr/>
          <w:p>
            <w:pPr>
              <w:pStyle w:val="Compact"/>
              <w:jc w:val="left"/>
            </w:pPr>
            <w:r>
              <w:t xml:space="preserve">All horizons</w:t>
            </w:r>
          </w:p>
        </w:tc>
        <w:tc>
          <w:tcPr/>
          <w:p>
            <w:pPr>
              <w:pStyle w:val="Compact"/>
              <w:jc w:val="right"/>
            </w:pPr>
            <w:r>
              <w:t xml:space="preserve">2.73</w:t>
            </w:r>
          </w:p>
        </w:tc>
        <w:tc>
          <w:tcPr/>
          <w:p>
            <w:pPr>
              <w:pStyle w:val="Compact"/>
              <w:jc w:val="right"/>
            </w:pPr>
            <w:r>
              <w:t xml:space="preserve">2.69</w:t>
            </w:r>
          </w:p>
        </w:tc>
        <w:tc>
          <w:tcPr/>
          <w:p>
            <w:pPr>
              <w:pStyle w:val="Compact"/>
              <w:jc w:val="right"/>
            </w:pPr>
            <w:r>
              <w:t xml:space="preserve">2.68</w:t>
            </w:r>
          </w:p>
        </w:tc>
        <w:tc>
          <w:tcPr/>
          <w:p>
            <w:pPr>
              <w:pStyle w:val="Compact"/>
              <w:jc w:val="right"/>
            </w:pPr>
            <w:r>
              <w:t xml:space="preserve">2.54</w:t>
            </w:r>
          </w:p>
        </w:tc>
        <w:tc>
          <w:tcPr/>
          <w:p>
            <w:pPr>
              <w:pStyle w:val="Compact"/>
              <w:jc w:val="right"/>
            </w:pPr>
            <w:r>
              <w:t xml:space="preserve">2.67</w:t>
            </w:r>
          </w:p>
        </w:tc>
      </w:tr>
    </w:tbl>
    <w:p>
      <w:pPr>
        <w:pStyle w:val="Source"/>
      </w:pPr>
      <w:r>
        <w:t xml:space="preserve">Source: Authors’ calculation. MASE scaled by the in-sample one-step seasonal naive error at each origin.</w:t>
      </w:r>
    </w:p>
    <w:p>
      <w:pPr>
        <w:pStyle w:val="BodyText"/>
      </w:pPr>
      <w:r>
        <w:t xml:space="preserve">Table 6 and Figure 6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annual growth; the damped ETS and Holt-Winters models, whose trend is close to zero at the end of the sample, project a plateau of 5,800 arrivals and 12,100-16,300 overnight stays; the combination gives 7,900 arrivals and 17,600 overnight stays, about 6.5% and 7.5% annual growth. The simulated 80% interval of the SARIMA model for 2030 runs from 3,413 to 46,884 arrivals (median 13,033) and from 13,702 to 50,894 overnight stays; the interval is asymmetric because the model is estimated on the log scale, and its width illustrates the uncertainty of a four-year horizon for a series of this size. The lower bounds of both intervals lie below the 2025 level, so a decline by 2030 is within the 80% range.</w:t>
      </w:r>
    </w:p>
    <w:p>
      <w:pPr>
        <w:pStyle w:val="BodyText"/>
        <w:keepNext/>
      </w:pPr>
      <w:r>
        <w:rPr>
          <w:bCs/>
          <w:b/>
        </w:rPr>
        <w:t xml:space="preserve">Table 6: Annual projections of arrivals and overnight stays to 2030</w:t>
      </w:r>
    </w:p>
    <w:tbl>
      <w:tblPr>
        <w:tblStyle w:val="Table"/>
        <w:tblW w:type="pct" w:w="5000"/>
        <w:tblLook w:firstRow="1" w:lastRow="0" w:firstColumn="0" w:lastColumn="0" w:noHBand="0" w:noVBand="0" w:val="0020"/>
        <w:jc w:val="start"/>
      </w:tblPr>
      <w:tblGrid>
        <w:gridCol w:w="1691"/>
        <w:gridCol w:w="692"/>
        <w:gridCol w:w="692"/>
        <w:gridCol w:w="692"/>
        <w:gridCol w:w="692"/>
        <w:gridCol w:w="692"/>
        <w:gridCol w:w="692"/>
        <w:gridCol w:w="692"/>
        <w:gridCol w:w="692"/>
        <w:gridCol w:w="692"/>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Arrivals 80% interval</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5,904-6,730</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4,791-13,347</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4,354-20,154</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4,044-32,580</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3,413-46,884</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 80% interval from 1,000 simulated SARIMA paths.</w:t>
      </w:r>
    </w:p>
    <w:p>
      <w:pPr>
        <w:pStyle w:val="BodyText"/>
        <w:keepNext/>
      </w:pPr>
      <w:r>
        <w:rPr>
          <w:bCs/>
          <w:b/>
        </w:rPr>
        <w:t xml:space="preserve">Figure 6: Annual arrivals and overnight stays, actual 2016-2026 and projections to 2030 with simulated 80% intervals</w:t>
      </w:r>
    </w:p>
    <w:p>
      <w:pPr>
        <w:pStyle w:val="BodyText"/>
      </w:pPr>
      <w:r>
        <w:drawing>
          <wp:inline>
            <wp:extent cx="5334000" cy="2405240"/>
            <wp:effectExtent b="0" l="0" r="0" t="0"/>
            <wp:docPr descr="" title="" id="48" name="Picture"/>
            <a:graphic>
              <a:graphicData uri="http://schemas.openxmlformats.org/drawingml/2006/picture">
                <pic:pic>
                  <pic:nvPicPr>
                    <pic:cNvPr descr="../figures/bw/rev_projections.png" id="49" name="Picture"/>
                    <pic:cNvPicPr>
                      <a:picLocks noChangeArrowheads="1" noChangeAspect="1"/>
                    </pic:cNvPicPr>
                  </pic:nvPicPr>
                  <pic:blipFill>
                    <a:blip r:embed="rId47"/>
                    <a:stretch>
                      <a:fillRect/>
                    </a:stretch>
                  </pic:blipFill>
                  <pic:spPr bwMode="auto">
                    <a:xfrm>
                      <a:off x="0" y="0"/>
                      <a:ext cx="5334000" cy="2405240"/>
                    </a:xfrm>
                    <a:prstGeom prst="rect">
                      <a:avLst/>
                    </a:prstGeom>
                    <a:noFill/>
                    <a:ln w="9525">
                      <a:noFill/>
                      <a:headEnd/>
                      <a:tailEnd/>
                    </a:ln>
                  </pic:spPr>
                </pic:pic>
              </a:graphicData>
            </a:graphic>
          </wp:inline>
        </w:drawing>
      </w:r>
    </w:p>
    <w:p>
      <w:pPr>
        <w:pStyle w:val="Source"/>
      </w:pPr>
      <w:r>
        <w:t xml:space="preserve">Source: Authors’ calculation.</w:t>
      </w:r>
    </w:p>
    <w:bookmarkEnd w:id="50"/>
    <w:bookmarkEnd w:id="51"/>
    <w:bookmarkStart w:id="55" w:name="discussion"/>
    <w:p>
      <w:pPr>
        <w:pStyle w:val="Heading1"/>
      </w:pPr>
      <w:r>
        <w:t xml:space="preserve">4. DISCUSSION</w:t>
      </w:r>
    </w:p>
    <w:bookmarkStart w:id="52"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steep segment of the fitted trend runs from the pandemic trough to mid-2024 and covers the full reopening of European travel, Croatia’s entry into the euro area and Schengen on 1 January 2023 and, possibly, growth in local accommodation supply, which the data do not record; but the break dates carry wide confidence intervals and the growth rate shows no statistically distinct regime, so the data describe an episode of fast growth rather than a dated regime shift. The Schengen effect should be strongest for transit traffic from Central Europe, because the removal of the Slovenian-Croatian border queue shortened the drive from Germany, Austria, Czechia and Poland, and those are the markets that grew fastest between 2019 and 2025; and the comparison with official statistics shows that the growth was specific to Knin: county arrivals were below their 2019 level in 2025 while Knin’s had tripled. Schengen is a plausible contributor, but the same years saw growth in local supply that the data do not record, and a difference-in-differences design with inland towns in countries that did not join Schengen would be needed to separate the two.</w:t>
      </w:r>
    </w:p>
    <w:p>
      <w:pPr>
        <w:pStyle w:val="BodyText"/>
      </w:pPr>
      <w:r>
        <w:t xml:space="preserve">The stall in 2026 deserves attention. Foreign arrivals in January-September fell 15% while domestic arrivals rose 31%;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52"/>
    <w:bookmarkStart w:id="53"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3"/>
    <w:bookmarkStart w:id="54"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 logistic life-cycle curve (Butler, 1980; Lundtorp &amp; Wanhill, 2001) fitted to annual arrivals gave a carrying capacity whose standard error exceeded the estimate and is therefore not reported.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4"/>
    <w:bookmarkEnd w:id="55"/>
    <w:bookmarkStart w:id="56" w:name="conclusion"/>
    <w:p>
      <w:pPr>
        <w:pStyle w:val="Heading1"/>
      </w:pPr>
      <w:r>
        <w:t xml:space="preserve">CONCLUSION</w:t>
      </w:r>
    </w:p>
    <w:p>
      <w:pPr>
        <w:pStyle w:val="FirstParagraph"/>
      </w:pPr>
      <w:r>
        <w:t xml:space="preserve">The four research questions can be answered as follows. RQ1: tourism in Knin grew more than fourfold between 2016 and 2025 and stopped growing in 2026. A steeper post-pandemic trend is present (H1 partly supported), but its start cannot be dated to the pandemic, the euro or Schengen: break dates in the segmented trend have confidence intervals of two to three years, the single most prominent break coincides with the pandemic trough, and the growth rate shows no statistically distinct regime; the growth was, however, specific to Knin and not a reflection of county or national demand. RQ2: seasonality did not decrease; the Gini coefficient showed no significant trend, the summer peak flattened into a longer summer and the winter share fell (H2 rejected). RQ3: foreign demand diversified across 12-17 effective markets, but average length of stay fell to two nights, so diversification went together with shorter, not longer, stays (H3 rejected); the growth made Knin a busier transit stop rather than a destination. RQ4: validated models disagree at the turning point as expected (H4 supported), with a plateau at about 6,000 arrivals and 12,000-16,000 overnight stays if the 2026 stall persists, about 8,000 and 17,600 on the combined path and about 12,000 and 24,000 if the 2022-2025 growth resumes; rolling-origin evaluation shows that no model beats last year’s seasonal pattern by much, so the range, not a point forecast, is the usable result.</w:t>
      </w:r>
    </w:p>
    <w:p>
      <w:pPr>
        <w:pStyle w:val="BodyText"/>
      </w:pPr>
      <w:r>
        <w:t xml:space="preserve">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6"/>
    <w:bookmarkStart w:id="57" w:name="acknowledgements"/>
    <w:p>
      <w:pPr>
        <w:pStyle w:val="Heading1"/>
      </w:pPr>
      <w:r>
        <w:t xml:space="preserve">ACKNOWLEDGEMENTS</w:t>
      </w:r>
    </w:p>
    <w:p>
      <w:pPr>
        <w:pStyle w:val="FirstParagraph"/>
      </w:pPr>
      <w:r>
        <w:t xml:space="preserve">The authors thank the Tourist Board of the City of Knin for providing the e-Visitor exports. The consolidated data set, code and figures are available at https://github.com/vedranu/knin-evisitor-tourism.</w:t>
      </w:r>
    </w:p>
    <w:bookmarkEnd w:id="57"/>
    <w:bookmarkStart w:id="58"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to improve the readability and language of the manuscript and to assist in writing and documenting the data-processing and statistical analysis code, which is published in full in the accompanying repository. All analyses were specified, reproduced and checked by the authors, and the tool was not used to generate findings, interpretations or conclusions. Following the use of this tool, the authors have reviewed and edited the content as necessary and take full responsibility for the content of the published article.</w:t>
      </w:r>
    </w:p>
    <w:bookmarkEnd w:id="58"/>
    <w:bookmarkStart w:id="59"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Croatian Bureau of Statistics. (2026).</w:t>
      </w:r>
      <w:r>
        <w:t xml:space="preserve"> </w:t>
      </w:r>
      <w:r>
        <w:rPr>
          <w:iCs/>
          <w:i/>
        </w:rPr>
        <w:t xml:space="preserve">Tourist arrivals and nights of domestic and foreign tourists in commercial accommodation, by county, monthly (Table 1.2, BS_TU12)</w:t>
      </w:r>
      <w:r>
        <w:t xml:space="preserve"> </w:t>
      </w:r>
      <w:r>
        <w:t xml:space="preserve">[Data set]. PxWeb. Retrieved October 16, 2026, from https://web.dzs.hr/PXWeb/</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 X. Matteucci &amp; S. Moretti (Eds.),</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59"/>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b/>
                <w:sz w:val="18"/>
              </w:rPr>
              <w:t>Vedran Uroš</w:t>
            </w:r>
            <w:r>
              <w:rPr>
                <w:rFonts w:ascii="Times New Roman" w:hAnsi="Times New Roman"/>
                <w:sz w:val="18"/>
              </w:rPr>
              <w:t xml:space="preserve"> is a senior lecturer at the University of Applied Sciences "Marko Marulić" in Knin, where he serves as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agribusiness and regional development. He teaches courses in information security, digital transformation and local and regional development.</w:t>
            </w:r>
          </w:p>
        </w:tc>
      </w:tr>
      <w:tr>
        <w:tc>
          <w:tcPr>
            <w:tcW w:type="dxa" w:w="9360"/>
          </w:tcPr>
          <w:p>
            <w:pPr>
              <w:jc w:val="both"/>
            </w:pPr>
            <w:r/>
            <w:r>
              <w:rPr>
                <w:rFonts w:ascii="Times New Roman" w:hAnsi="Times New Roman"/>
                <w:b/>
                <w:sz w:val="18"/>
              </w:rPr>
              <w:t>Marijo Ćaćić</w:t>
            </w:r>
            <w:r>
              <w:rPr>
                <w:rFonts w:ascii="Times New Roman" w:hAnsi="Times New Roman"/>
                <w:sz w:val="18"/>
              </w:rPr>
              <w:t xml:space="preserve"> is a senior lecturer at the Faculty of Food Technology and Biotechnology, University of Zagreb, where he teaches Management and Marketing of Food Products in the graduate programme. He holds a master's degree in economics and is a doctoral student in Business Economics at the Faculty of Economics and Business, University of Rijeka. He also serves as Mayor of the Town of Knin, which gives him first-hand insight into local development and destination management. His professional interests include management, food marketing, and local and regional economic development.</w:t>
            </w:r>
          </w:p>
        </w:tc>
      </w:tr>
      <w:tr>
        <w:tc>
          <w:tcPr>
            <w:tcW w:type="dxa" w:w="9360"/>
          </w:tcPr>
          <w:p>
            <w:pPr>
              <w:jc w:val="both"/>
            </w:pPr>
            <w:r/>
            <w:r>
              <w:rPr>
                <w:rFonts w:ascii="Times New Roman" w:hAnsi="Times New Roman"/>
                <w:b/>
                <w:sz w:val="18"/>
              </w:rPr>
              <w:t>Ivan Sorić</w:t>
            </w:r>
            <w:r>
              <w:rPr>
                <w:rFonts w:ascii="Times New Roman" w:hAnsi="Times New Roman"/>
                <w:sz w:val="18"/>
              </w:rPr>
              <w:t xml:space="preserve"> is Director of the Tourist Board of the Town of Knin, where he is responsible for destination management, promotion and the tourist registration system of the town. He holds a degree in philosophy and religious sciences and is a doctoral student at the University of Zadar in the doctoral programme The Adriatic - a Link between Continents. His professional interests include destination management, cultural and heritage tourism and the development of tourism in the Dalmatian hinterland.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4" Type="http://schemas.openxmlformats.org/officeDocument/2006/relationships/image" Target="media/rId44.png"/><Relationship Id="rId40" Type="http://schemas.openxmlformats.org/officeDocument/2006/relationships/image" Target="media/rId40.png"/><Relationship Id="rId47" Type="http://schemas.openxmlformats.org/officeDocument/2006/relationships/image" Target="media/rId47.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2026-10-16T21:01:47Z</dcterms:created>
  <dcterms:modified xsi:type="dcterms:W3CDTF">2026-10-16T21:01:47Z</dcterms:modified>
</cp:coreProperties>
</file>

<file path=docProps/custom.xml><?xml version="1.0" encoding="utf-8"?>
<Properties xmlns="http://schemas.openxmlformats.org/officeDocument/2006/custom-properties" xmlns:vt="http://schemas.openxmlformats.org/officeDocument/2006/docPropsVTypes"/>
</file>