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Tutor Handbook</w:t>
      </w:r>
    </w:p>
    <w:p>
      <w:pPr>
        <w:pStyle w:val="Subtitle"/>
      </w:pPr>
      <w:r>
        <w:t xml:space="preserve">Optimal Market Making for Cryptocurrency Options — The Avellaneda–Stoikov Framework and its Extension to Options</w:t>
      </w:r>
    </w:p>
    <w:p>
      <w:pPr>
        <w:pStyle w:val="Author"/>
      </w:pPr>
      <w:r>
        <w:t xml:space="preserve">North Carolina State University · Financial Mathematics</w:t>
      </w:r>
    </w:p>
    <w:p>
      <w:pPr>
        <w:pStyle w:val="Date"/>
      </w:pPr>
      <w:r>
        <w:t xml:space="preserve">Summer 2026</w:t>
      </w:r>
    </w:p>
    <w:p>
      <w:pPr>
        <w:pStyle w:val="FirstParagraph"/>
      </w:pPr>
      <w:r>
        <w:drawing>
          <wp:inline>
            <wp:extent cx="2377440" cy="3742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ncs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tutor-handbook"/>
    <w:p>
      <w:pPr>
        <w:pStyle w:val="Heading1"/>
      </w:pPr>
      <w:r>
        <w:t xml:space="preserve">Tutor Handbook</w:t>
      </w:r>
    </w:p>
    <w:p>
      <w:pPr>
        <w:pStyle w:val="FirstParagraph"/>
      </w:pPr>
      <w:r>
        <w:rPr>
          <w:b/>
          <w:bCs/>
        </w:rPr>
        <w:t xml:space="preserve">Optimal Market Making for Cryptocurrency Options</w:t>
      </w:r>
    </w:p>
    <w:p>
      <w:pPr>
        <w:pStyle w:val="BodyText"/>
      </w:pPr>
      <w:r>
        <w:rPr>
          <w:i/>
          <w:iCs/>
        </w:rPr>
        <w:t xml:space="preserve">The Avellaneda–Stoikov Framework and its Extension to Options</w:t>
      </w:r>
    </w:p>
    <w:p>
      <w:pPr>
        <w:pStyle w:val="BodyText"/>
      </w:pPr>
      <w:r>
        <w:t xml:space="preserve">A 10-Week Summer Research Program — North Carolina State University</w:t>
      </w:r>
    </w:p>
    <w:p>
      <w:pPr>
        <w:pStyle w:val="BodyText"/>
      </w:pPr>
      <w:r>
        <w:t xml:space="preserve">Prepared for teaching assistants, recitation leaders, and graders.</w:t>
      </w:r>
    </w:p>
    <w:p>
      <w:pPr>
        <w:pStyle w:val="BodyText"/>
      </w:pPr>
      <w:r>
        <w:rPr>
          <w:i/>
          <w:iCs/>
        </w:rPr>
        <w:t xml:space="preserve">Program Mentor: Dendi Suhubdy (Bitwyre). Guest Practitioner: Fenni Kang</w:t>
      </w:r>
      <w:r>
        <w:rPr>
          <w:i/>
          <w:iCs/>
        </w:rPr>
        <w:t xml:space="preserve"> </w:t>
      </w:r>
      <w:r>
        <w:rPr>
          <w:i/>
          <w:iCs/>
        </w:rPr>
        <w:t xml:space="preserve">(Coincall). Edition: 2026.</w:t>
      </w:r>
    </w:p>
    <w:p>
      <w:r>
        <w:pict>
          <v:rect style="width:0;height:1.5pt" o:hralign="center" o:hrstd="t" o:hr="t"/>
        </w:pict>
      </w:r>
    </w:p>
    <w:bookmarkStart w:id="12" w:name="how-to-use-this-handbook"/>
    <w:p>
      <w:pPr>
        <w:pStyle w:val="Heading2"/>
      </w:pPr>
      <w:r>
        <w:t xml:space="preserve">How to Use This Handbook</w:t>
      </w:r>
    </w:p>
    <w:p>
      <w:pPr>
        <w:pStyle w:val="FirstParagraph"/>
      </w:pPr>
      <w:r>
        <w:t xml:space="preserve">This handbook is the operational companion to the student-facing</w:t>
      </w:r>
      <w:r>
        <w:t xml:space="preserve"> </w:t>
      </w:r>
      <w:r>
        <w:t xml:space="preserve">syllabus. Read the syllabus first. The handbook has four parts: Part I</w:t>
      </w:r>
      <w:r>
        <w:t xml:space="preserve"> </w:t>
      </w:r>
      <w:r>
        <w:t xml:space="preserve">(orientation — your role, the weekly rhythm, policies), Part II (the</w:t>
      </w:r>
      <w:r>
        <w:t xml:space="preserve"> </w:t>
      </w:r>
      <w:r>
        <w:t xml:space="preserve">week-by-week teaching guide), Part III (milestone evaluation rubrics), and</w:t>
      </w:r>
      <w:r>
        <w:t xml:space="preserve"> </w:t>
      </w:r>
      <w:r>
        <w:t xml:space="preserve">Part IV (administrative reference). The detailed per-problem solution</w:t>
      </w:r>
      <w:r>
        <w:t xml:space="preserve"> </w:t>
      </w:r>
      <w:r>
        <w:t xml:space="preserve">sketches and grading rubrics now live in the separate</w:t>
      </w:r>
      <w:r>
        <w:t xml:space="preserve"> </w:t>
      </w:r>
      <w:r>
        <w:rPr>
          <w:b/>
          <w:bCs/>
        </w:rPr>
        <w:t xml:space="preserve">Solutions</w:t>
      </w:r>
      <w:r>
        <w:t xml:space="preserve"> </w:t>
      </w:r>
      <w:r>
        <w:t xml:space="preserve">booklet; this handbook tells you how to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each week and how to grade</w:t>
      </w:r>
      <w:r>
        <w:t xml:space="preserve"> </w:t>
      </w:r>
      <w:r>
        <w:t xml:space="preserve">consistently, and points you to the Solutions booklet for the worked</w:t>
      </w:r>
      <w:r>
        <w:t xml:space="preserve"> </w:t>
      </w:r>
      <w:r>
        <w:t xml:space="preserve">answers.</w:t>
      </w:r>
    </w:p>
    <w:p>
      <w:pPr>
        <w:pStyle w:val="BodyText"/>
      </w:pPr>
      <w:r>
        <w:rPr>
          <w:b/>
          <w:bCs/>
        </w:rPr>
        <w:t xml:space="preserve">Conventions.</w:t>
      </w:r>
      <w:r>
        <w:t xml:space="preserve"> </w:t>
      </w:r>
      <w:r>
        <w:t xml:space="preserve">Boldface marks the single most important point in a</w:t>
      </w:r>
      <w:r>
        <w:t xml:space="preserve"> </w:t>
      </w:r>
      <w:r>
        <w:t xml:space="preserve">section. A ⚑ marks situations to escalate to the mentor. Time allocations</w:t>
      </w:r>
      <w:r>
        <w:t xml:space="preserve"> </w:t>
      </w:r>
      <w:r>
        <w:t xml:space="preserve">are recommendations; adapt to the cohort.</w:t>
      </w:r>
    </w:p>
    <w:p>
      <w:pPr>
        <w:pStyle w:val="BodyText"/>
      </w:pPr>
      <w:r>
        <w:rPr>
          <w:b/>
          <w:bCs/>
        </w:rPr>
        <w:t xml:space="preserve">A note on the two languages.</w:t>
      </w:r>
      <w:r>
        <w:t xml:space="preserve"> </w:t>
      </w:r>
      <w:r>
        <w:t xml:space="preserve">Problem sets are written in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PyTorch</w:t>
      </w:r>
      <w:r>
        <w:t xml:space="preserve">; differentiation is done by autograd, and students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asked to hand-derive AD. The fast-computation week (Week 7) is</w:t>
      </w:r>
      <w:r>
        <w:t xml:space="preserve"> </w:t>
      </w:r>
      <w:r>
        <w:t xml:space="preserve">written in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and exposed to Python via a</w:t>
      </w:r>
      <w: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 </w:t>
      </w:r>
      <w:r>
        <w:t xml:space="preserve">binding.</w:t>
      </w:r>
      <w:r>
        <w:t xml:space="preserve"> </w:t>
      </w:r>
      <w:r>
        <w:t xml:space="preserve">When you grade or help, hold students to</w:t>
      </w:r>
      <w:r>
        <w:t xml:space="preserve"> </w:t>
      </w:r>
      <w:r>
        <w:t xml:space="preserve">“PyTorch for research and Greeks,</w:t>
      </w:r>
      <w:r>
        <w:t xml:space="preserve"> </w:t>
      </w:r>
      <w:r>
        <w:t xml:space="preserve">C++ for the hot path,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between them.”</w:t>
      </w:r>
      <w:r>
        <w:t xml:space="preserve"> </w:t>
      </w:r>
      <w:r>
        <w:t xml:space="preserve">If a student hand-rolls</w:t>
      </w:r>
      <w:r>
        <w:t xml:space="preserve"> </w:t>
      </w:r>
      <w:r>
        <w:t xml:space="preserve">adjoint AD in C++,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required and usually a sign they have</w:t>
      </w:r>
      <w:r>
        <w:t xml:space="preserve"> </w:t>
      </w:r>
      <w:r>
        <w:t xml:space="preserve">over-engineered — steer them back to autograd as the reference.</w:t>
      </w:r>
    </w:p>
    <w:p>
      <w:r>
        <w:pict>
          <v:rect style="width:0;height:1.5pt" o:hralign="center" o:hrstd="t" o:hr="t"/>
        </w:pict>
      </w:r>
    </w:p>
    <w:bookmarkEnd w:id="12"/>
    <w:bookmarkStart w:id="19" w:name="part-i.-tutor-orientation"/>
    <w:p>
      <w:pPr>
        <w:pStyle w:val="Heading2"/>
      </w:pPr>
      <w:r>
        <w:t xml:space="preserve">Part I. Tutor Orientation</w:t>
      </w:r>
    </w:p>
    <w:bookmarkStart w:id="13" w:name="your-role"/>
    <w:p>
      <w:pPr>
        <w:pStyle w:val="Heading3"/>
      </w:pPr>
      <w:r>
        <w:t xml:space="preserve">1.1 Your Role</w:t>
      </w:r>
    </w:p>
    <w:p>
      <w:pPr>
        <w:pStyle w:val="FirstParagraph"/>
      </w:pPr>
      <w:r>
        <w:t xml:space="preserve">Tutors deliver the day-to-day program: leading the weekly ninety-minute</w:t>
      </w:r>
      <w:r>
        <w:t xml:space="preserve"> </w:t>
      </w:r>
      <w:r>
        <w:t xml:space="preserve">recitation, holding three weekly office hours, grading weekly problem sets</w:t>
      </w:r>
      <w:r>
        <w:t xml:space="preserve"> </w:t>
      </w:r>
      <w:r>
        <w:t xml:space="preserve">within seven days, giving first-pass evaluation of milestone deliverables</w:t>
      </w:r>
      <w:r>
        <w:t xml:space="preserve"> </w:t>
      </w:r>
      <w:r>
        <w:t xml:space="preserve">(final evaluation rests with the mentor), and flagging at-risk students to</w:t>
      </w:r>
      <w:r>
        <w:t xml:space="preserve"> </w:t>
      </w:r>
      <w:r>
        <w:t xml:space="preserve">the mentor within twenty-four hours. Tutors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deliver the main</w:t>
      </w:r>
      <w:r>
        <w:t xml:space="preserve"> </w:t>
      </w:r>
      <w:r>
        <w:t xml:space="preserve">lectures or unilaterally change the syllabus, problem sets, or rubrics —</w:t>
      </w:r>
      <w:r>
        <w:t xml:space="preserve"> </w:t>
      </w:r>
      <w:r>
        <w:t xml:space="preserve">raise proposed changes with the mentor.</w:t>
      </w:r>
    </w:p>
    <w:bookmarkEnd w:id="13"/>
    <w:bookmarkStart w:id="14" w:name="relationship-with-the-mentor"/>
    <w:p>
      <w:pPr>
        <w:pStyle w:val="Heading3"/>
      </w:pPr>
      <w:r>
        <w:t xml:space="preserve">1.2 Relationship with the Mentor</w:t>
      </w:r>
    </w:p>
    <w:p>
      <w:pPr>
        <w:pStyle w:val="FirstParagraph"/>
      </w:pPr>
      <w:r>
        <w:t xml:space="preserve">The program is mentored by Dendi Suhubdy, who sets direction, delivers the</w:t>
      </w:r>
      <w:r>
        <w:t xml:space="preserve"> </w:t>
      </w:r>
      <w:r>
        <w:t xml:space="preserve">main lectures, and makes final decisions on grading disputes and milestone</w:t>
      </w:r>
      <w:r>
        <w:t xml:space="preserve"> </w:t>
      </w:r>
      <w:r>
        <w:t xml:space="preserve">evaluations. The mentor contributes on a volunteer basis alongside a</w:t>
      </w:r>
      <w:r>
        <w:t xml:space="preserve"> </w:t>
      </w:r>
      <w:r>
        <w:t xml:space="preserve">full-time role, so there is</w:t>
      </w:r>
      <w:r>
        <w:t xml:space="preserve"> </w:t>
      </w:r>
      <w:r>
        <w:rPr>
          <w:b/>
          <w:bCs/>
        </w:rPr>
        <w:t xml:space="preserve">no fixed weekly sync</w:t>
      </w:r>
      <w:r>
        <w:t xml:space="preserve"> </w:t>
      </w:r>
      <w:r>
        <w:t xml:space="preserve">— communication is</w:t>
      </w:r>
      <w:r>
        <w:t xml:space="preserve"> </w:t>
      </w:r>
      <w:r>
        <w:rPr>
          <w:b/>
          <w:bCs/>
        </w:rPr>
        <w:t xml:space="preserve">asynchronous, by email and Telegram</w:t>
      </w:r>
      <w:r>
        <w:t xml:space="preserve">, with the mentor aiming to respond</w:t>
      </w:r>
      <w:r>
        <w:t xml:space="preserve"> </w:t>
      </w:r>
      <w:r>
        <w:t xml:space="preserve">within a few business days. Tutors batch non-urgent items into a periodic</w:t>
      </w:r>
      <w:r>
        <w:t xml:space="preserve"> </w:t>
      </w:r>
      <w:r>
        <w:t xml:space="preserve">written update rather than expecting a standing meeting, and arrange a live</w:t>
      </w:r>
      <w:r>
        <w:t xml:space="preserve"> </w:t>
      </w:r>
      <w:r>
        <w:t xml:space="preserve">call only when something genuinely needs one. For genuine crises (⚑ student</w:t>
      </w:r>
      <w:r>
        <w:t xml:space="preserve"> </w:t>
      </w:r>
      <w:r>
        <w:t xml:space="preserve">in acute distress, suspected integrity violation, data-security incident),</w:t>
      </w:r>
      <w:r>
        <w:t xml:space="preserve"> </w:t>
      </w:r>
      <w:r>
        <w:t xml:space="preserve">contact the mentor directly by phone/Telegram and flag it as urgent.</w:t>
      </w:r>
    </w:p>
    <w:p>
      <w:pPr>
        <w:pStyle w:val="BodyText"/>
      </w:pPr>
      <w:r>
        <w:t xml:space="preserve">Because the mentor’s availability is limited, tutors own the day-to-day</w:t>
      </w:r>
      <w:r>
        <w:t xml:space="preserve"> </w:t>
      </w:r>
      <w:r>
        <w:t xml:space="preserve">program and should resolve what they can independently, escalating to the</w:t>
      </w:r>
      <w:r>
        <w:t xml:space="preserve"> </w:t>
      </w:r>
      <w:r>
        <w:t xml:space="preserve">mentor only what truly requires the mentor’s decision.</w:t>
      </w:r>
    </w:p>
    <w:p>
      <w:pPr>
        <w:pStyle w:val="BodyText"/>
      </w:pPr>
      <w:r>
        <w:t xml:space="preserve">Note that two lectures are delivered by a</w:t>
      </w:r>
      <w:r>
        <w:t xml:space="preserve"> </w:t>
      </w:r>
      <w:r>
        <w:rPr>
          <w:b/>
          <w:bCs/>
        </w:rPr>
        <w:t xml:space="preserve">guest practitioner</w:t>
      </w:r>
      <w:r>
        <w:t xml:space="preserve">, Fenni</w:t>
      </w:r>
      <w:r>
        <w:t xml:space="preserve"> </w:t>
      </w:r>
      <w:r>
        <w:t xml:space="preserve">Kang (Chief Strategy Officer, Coincall): the taker-strategies session in</w:t>
      </w:r>
      <w:r>
        <w:t xml:space="preserve"> </w:t>
      </w:r>
      <w:r>
        <w:t xml:space="preserve">Week 9 and the structured-products session in Week 10. Coordinate logistics</w:t>
      </w:r>
      <w:r>
        <w:t xml:space="preserve"> </w:t>
      </w:r>
      <w:r>
        <w:t xml:space="preserve">for these with the mentor; you support them in recitation as usual.</w:t>
      </w:r>
    </w:p>
    <w:bookmarkEnd w:id="14"/>
    <w:bookmarkStart w:id="15" w:name="weekly-rhythm"/>
    <w:p>
      <w:pPr>
        <w:pStyle w:val="Heading3"/>
      </w:pPr>
      <w:r>
        <w:t xml:space="preserve">1.3 Weekly Rhythm</w:t>
      </w:r>
    </w:p>
    <w:p>
      <w:pPr>
        <w:pStyle w:val="FirstParagraph"/>
      </w:pPr>
      <w:r>
        <w:t xml:space="preserve">For a cohort of six to eight students, a typical week is: Sunday evening</w:t>
      </w:r>
      <w:r>
        <w:t xml:space="preserve"> </w:t>
      </w:r>
      <w:r>
        <w:t xml:space="preserve">prep (read this handbook’s Part II section, ~2–3 h); attend Lecture 1</w:t>
      </w:r>
      <w:r>
        <w:t xml:space="preserve"> </w:t>
      </w:r>
      <w:r>
        <w:t xml:space="preserve">(Mon) and Lecture 2 (Wed) to track confusions; office hours (Tue, Fri, Sat</w:t>
      </w:r>
      <w:r>
        <w:t xml:space="preserve"> </w:t>
      </w:r>
      <w:r>
        <w:t xml:space="preserve">mornings); lead recitation (Thu); grade the previous week’s problem set</w:t>
      </w:r>
      <w:r>
        <w:t xml:space="preserve"> </w:t>
      </w:r>
      <w:r>
        <w:t xml:space="preserve">over the weekend (~4–6 h). Total ≈ 15–20 h/week, peaking in milestone</w:t>
      </w:r>
      <w:r>
        <w:t xml:space="preserve"> </w:t>
      </w:r>
      <w:r>
        <w:t xml:space="preserve">weeks (5, 7, 9), when you also join code review.</w:t>
      </w:r>
    </w:p>
    <w:bookmarkEnd w:id="15"/>
    <w:bookmarkStart w:id="16" w:name="office-hours-guidance"/>
    <w:p>
      <w:pPr>
        <w:pStyle w:val="Heading3"/>
      </w:pPr>
      <w:r>
        <w:t xml:space="preserve">1.4 Office Hours Guidance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Resist solving problems for students.</w:t>
      </w:r>
      <w:r>
        <w:t xml:space="preserve"> </w:t>
      </w:r>
      <w:r>
        <w:t xml:space="preserve">Ask what they tried, ask what</w:t>
      </w:r>
      <w:r>
        <w:t xml:space="preserve"> </w:t>
      </w:r>
      <w:r>
        <w:t xml:space="preserve">the next step is, give the smallest unblocking hint.</w:t>
      </w:r>
    </w:p>
    <w:p>
      <w:pPr>
        <w:pStyle w:val="Compact"/>
        <w:numPr>
          <w:ilvl w:val="0"/>
          <w:numId w:val="1001"/>
        </w:numPr>
      </w:pPr>
      <w:r>
        <w:t xml:space="preserve">Distinguish conceptual confusion (return to lecture) from</w:t>
      </w:r>
      <w:r>
        <w:t xml:space="preserve"> </w:t>
      </w:r>
      <w:r>
        <w:t xml:space="preserve">implementation confusion (read the code together).</w:t>
      </w:r>
    </w:p>
    <w:p>
      <w:pPr>
        <w:pStyle w:val="Compact"/>
        <w:numPr>
          <w:ilvl w:val="0"/>
          <w:numId w:val="1001"/>
        </w:numPr>
      </w:pPr>
      <w:r>
        <w:t xml:space="preserve">The same student with the same confusion every week is a signal — flag</w:t>
      </w:r>
      <w:r>
        <w:t xml:space="preserve"> </w:t>
      </w:r>
      <w:r>
        <w:t xml:space="preserve">it to the mentor.</w:t>
      </w:r>
    </w:p>
    <w:p>
      <w:pPr>
        <w:pStyle w:val="Compact"/>
        <w:numPr>
          <w:ilvl w:val="0"/>
          <w:numId w:val="1001"/>
        </w:numPr>
      </w:pPr>
      <w:r>
        <w:t xml:space="preserve">Office hours are not milestone code review. Do not debug milestone code</w:t>
      </w:r>
      <w:r>
        <w:t xml:space="preserve"> </w:t>
      </w:r>
      <w:r>
        <w:t xml:space="preserve">in office hours; that happens in scheduled code-review sessions during</w:t>
      </w:r>
      <w:r>
        <w:t xml:space="preserve"> </w:t>
      </w:r>
      <w:r>
        <w:t xml:space="preserve">milestone weeks, so your grading judgment stays independent.</w:t>
      </w:r>
    </w:p>
    <w:bookmarkEnd w:id="16"/>
    <w:bookmarkStart w:id="17" w:name="grading-standards"/>
    <w:p>
      <w:pPr>
        <w:pStyle w:val="Heading3"/>
      </w:pPr>
      <w:r>
        <w:t xml:space="preserve">1.5 Grading Standards</w:t>
      </w:r>
    </w:p>
    <w:p>
      <w:pPr>
        <w:pStyle w:val="FirstParagraph"/>
      </w:pPr>
      <w:r>
        <w:t xml:space="preserve">Consistency matters more than the calibration of any single grade. With</w:t>
      </w:r>
      <w:r>
        <w:t xml:space="preserve"> </w:t>
      </w:r>
      <w:r>
        <w:t xml:space="preserve">two tutors, grade the first problem set’s first three problems together to</w:t>
      </w:r>
      <w:r>
        <w:t xml:space="preserve"> </w:t>
      </w:r>
      <w:r>
        <w:t xml:space="preserve">calibrate, and spot-check each other thereafter.</w:t>
      </w:r>
    </w:p>
    <w:p>
      <w:pPr>
        <w:pStyle w:val="BodyText"/>
      </w:pPr>
      <w:r>
        <w:t xml:space="preserve">Every problem set is a programming assignment. Specific standards: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is graded on correctness, reproducibility, and code quality, in</w:t>
      </w:r>
      <w:r>
        <w:rPr>
          <w:b/>
          <w:bCs/>
        </w:rPr>
        <w:t xml:space="preserve"> </w:t>
      </w:r>
      <w:r>
        <w:rPr>
          <w:b/>
          <w:bCs/>
        </w:rPr>
        <w:t xml:space="preserve">that order.</w:t>
      </w:r>
      <w:r>
        <w:t xml:space="preserve"> </w:t>
      </w:r>
      <w:r>
        <w:t xml:space="preserve">Code that runs and produces the right answer with poor</w:t>
      </w:r>
      <w:r>
        <w:t xml:space="preserve"> </w:t>
      </w:r>
      <w:r>
        <w:t xml:space="preserve">style is graded above code that does not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Numerical-verification problems</w:t>
      </w:r>
      <w:r>
        <w:t xml:space="preserve"> </w:t>
      </w:r>
      <w:r>
        <w:t xml:space="preserve">(confirm an analytical result by</w:t>
      </w:r>
      <w:r>
        <w:t xml:space="preserve"> </w:t>
      </w:r>
      <w:r>
        <w:t xml:space="preserve">computation) are graded on whether the verification is set up correctly</w:t>
      </w:r>
      <w:r>
        <w:t xml:space="preserve"> </w:t>
      </w:r>
      <w:r>
        <w:t xml:space="preserve">and the reported error is the right order of magnitude — not on a</w:t>
      </w:r>
      <w:r>
        <w:t xml:space="preserve"> </w:t>
      </w:r>
      <w:r>
        <w:t xml:space="preserve">written proof.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 written interpretations</w:t>
      </w:r>
      <w:r>
        <w:t xml:space="preserve"> </w:t>
      </w:r>
      <w:r>
        <w:t xml:space="preserve">(typically printed by the code as a</w:t>
      </w:r>
      <w:r>
        <w:t xml:space="preserve"> </w:t>
      </w:r>
      <w:r>
        <w:t xml:space="preserve">summary of computed results) are graded on substantive engagement with</w:t>
      </w:r>
      <w:r>
        <w:t xml:space="preserve"> </w:t>
      </w:r>
      <w:r>
        <w:t xml:space="preserve">the actual numbers; restating the question earns zero.</w:t>
      </w:r>
    </w:p>
    <w:p>
      <w:pPr>
        <w:pStyle w:val="Compact"/>
        <w:numPr>
          <w:ilvl w:val="0"/>
          <w:numId w:val="1002"/>
        </w:numPr>
      </w:pPr>
      <w:r>
        <w:t xml:space="preserve">For Week 7, additionally grade the</w:t>
      </w:r>
      <w:r>
        <w:t xml:space="preserve"> </w:t>
      </w:r>
      <w:r>
        <w:rPr>
          <w:b/>
          <w:bCs/>
        </w:rPr>
        <w:t xml:space="preserve">C++/</w:t>
      </w:r>
      <w:r>
        <w:rPr>
          <w:rStyle w:val="VerbatimChar"/>
          <w:b/>
          <w:bCs/>
        </w:rPr>
        <w:t xml:space="preserve">pybind11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: does the</w:t>
      </w:r>
      <w:r>
        <w:t xml:space="preserve"> </w:t>
      </w:r>
      <w:r>
        <w:t xml:space="preserve">module build with CMake, import cleanly, and agree with the PyTorch</w:t>
      </w:r>
      <w:r>
        <w:t xml:space="preserve"> </w:t>
      </w:r>
      <w:r>
        <w:t xml:space="preserve">reference Greeks?</w:t>
      </w:r>
    </w:p>
    <w:p>
      <w:pPr>
        <w:pStyle w:val="FirstParagraph"/>
      </w:pPr>
      <w:r>
        <w:t xml:space="preserve">Return graded work within seven days. Provide written feedback on at least</w:t>
      </w:r>
      <w:r>
        <w:t xml:space="preserve"> </w:t>
      </w:r>
      <w:r>
        <w:t xml:space="preserve">one problem per set, even at full marks. The worked solutions are in the</w:t>
      </w:r>
      <w:r>
        <w:t xml:space="preserve"> </w:t>
      </w:r>
      <w:r>
        <w:t xml:space="preserve">Solutions booklet; develop your own complete solution before grading.</w:t>
      </w:r>
    </w:p>
    <w:bookmarkEnd w:id="17"/>
    <w:bookmarkStart w:id="18" w:name="tutor-calibration-session"/>
    <w:p>
      <w:pPr>
        <w:pStyle w:val="Heading3"/>
      </w:pPr>
      <w:r>
        <w:t xml:space="preserve">1.6 Tutor Calibration Session</w:t>
      </w:r>
    </w:p>
    <w:p>
      <w:pPr>
        <w:pStyle w:val="FirstParagraph"/>
      </w:pPr>
      <w:r>
        <w:t xml:space="preserve">Before the program, the mentor holds a half-day calibration session:</w:t>
      </w:r>
      <w:r>
        <w:t xml:space="preserve"> </w:t>
      </w:r>
      <w:r>
        <w:t xml:space="preserve">review the syllabus, walk through one full week of these notes, grade a</w:t>
      </w:r>
      <w:r>
        <w:t xml:space="preserve"> </w:t>
      </w:r>
      <w:r>
        <w:t xml:space="preserve">sample problem set as a group, and review the milestone rubrics.</w:t>
      </w:r>
      <w:r>
        <w:t xml:space="preserve"> </w:t>
      </w:r>
      <w:r>
        <w:t xml:space="preserve">Attendance is mandatory.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part-ii.-week-by-week-teaching-notes"/>
    <w:p>
      <w:pPr>
        <w:pStyle w:val="Heading2"/>
      </w:pPr>
      <w:r>
        <w:t xml:space="preserve">Part II. Week-by-Week Teaching Notes</w:t>
      </w:r>
    </w:p>
    <w:p>
      <w:pPr>
        <w:pStyle w:val="FirstParagraph"/>
      </w:pPr>
      <w:r>
        <w:t xml:space="preserve">Each week section gives the spine of the week, lecture-emphasis notes,</w:t>
      </w:r>
      <w:r>
        <w:t xml:space="preserve"> </w:t>
      </w:r>
      <w:r>
        <w:t xml:space="preserve">common student confusions, and a recitation plan. Read the upcoming week</w:t>
      </w:r>
      <w:r>
        <w:t xml:space="preserve"> </w:t>
      </w:r>
      <w:r>
        <w:t xml:space="preserve">in full during the Sunday prep block. Grading rubrics and worked answers</w:t>
      </w:r>
      <w:r>
        <w:t xml:space="preserve"> </w:t>
      </w:r>
      <w:r>
        <w:t xml:space="preserve">are in the Solutions booklet.</w:t>
      </w:r>
    </w:p>
    <w:bookmarkStart w:id="20" w:name="week-1-introduction-delivered"/>
    <w:p>
      <w:pPr>
        <w:pStyle w:val="Heading3"/>
      </w:pPr>
      <w:r>
        <w:t xml:space="preserve">Week 1 — Introduction (Delivered)</w:t>
      </w:r>
    </w:p>
    <w:p>
      <w:pPr>
        <w:pStyle w:val="FirstParagraph"/>
      </w:pPr>
      <w:r>
        <w:t xml:space="preserve">This week was delivered last week. It oriented the cohort, set up the</w:t>
      </w:r>
      <w:r>
        <w:t xml:space="preserve"> </w:t>
      </w:r>
      <w:r>
        <w:t xml:space="preserve">Python + PyTorch and C++17/CMake/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toolchains, distributed</w:t>
      </w:r>
      <w:r>
        <w:t xml:space="preserve"> </w:t>
      </w:r>
      <w:r>
        <w:t xml:space="preserve">Coincall data credentials, and collected the data-use agreements. There is</w:t>
      </w:r>
      <w:r>
        <w:t xml:space="preserve"> </w:t>
      </w:r>
      <w:r>
        <w:t xml:space="preserve">no graded problem set. If you are onboarding mid-stream, confirm every</w:t>
      </w:r>
      <w:r>
        <w:t xml:space="preserve"> </w:t>
      </w:r>
      <w:r>
        <w:t xml:space="preserve">student can (a) run a PyTorch autograd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and (b) build and</w:t>
      </w:r>
      <w:r>
        <w:t xml:space="preserve"> </w:t>
      </w:r>
      <w:r>
        <w:t xml:space="preserve">import the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starter module — these are prerequisites for Weeks 5</w:t>
      </w:r>
      <w:r>
        <w:t xml:space="preserve"> </w:t>
      </w:r>
      <w:r>
        <w:t xml:space="preserve">and 7 respectively.</w:t>
      </w:r>
    </w:p>
    <w:bookmarkEnd w:id="20"/>
    <w:bookmarkStart w:id="21" w:name="Xb28302bef4346da3cb5312c44454fa44531dff7"/>
    <w:p>
      <w:pPr>
        <w:pStyle w:val="Heading3"/>
      </w:pPr>
      <w:r>
        <w:t xml:space="preserve">Week 2 — Foundations of Market Microstructure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Students must leave able to think of a market maker as a</w:t>
      </w:r>
      <w:r>
        <w:t xml:space="preserve"> </w:t>
      </w:r>
      <w:r>
        <w:t xml:space="preserve">continuously quoting participant justified by the spread, and able to read</w:t>
      </w:r>
      <w:r>
        <w:t xml:space="preserve"> </w:t>
      </w:r>
      <w:r>
        <w:t xml:space="preserve">a limit order book without looking up vocabulary. Everything builds on</w:t>
      </w:r>
      <w:r>
        <w:t xml:space="preserve"> </w:t>
      </w:r>
      <w:r>
        <w:t xml:space="preserve">this.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is vocabulary and institutional fluency;</w:t>
      </w:r>
      <w:r>
        <w:t xml:space="preserve"> </w:t>
      </w:r>
      <w:r>
        <w:t xml:space="preserve">the key under-stated point is that price-time priority creates a queue and</w:t>
      </w:r>
      <w:r>
        <w:t xml:space="preserve"> </w:t>
      </w:r>
      <w:r>
        <w:t xml:space="preserve">queue position is a real economic asset (this matters in Week 5 fill</w:t>
      </w:r>
      <w:r>
        <w:t xml:space="preserve"> </w:t>
      </w:r>
      <w:r>
        <w:t xml:space="preserve">calibration). Lecture 2 covers Roll, Glosten–Milgrom, and Kyle quickly —</w:t>
      </w:r>
      <w:r>
        <w:t xml:space="preserve"> </w:t>
      </w:r>
      <w:r>
        <w:t xml:space="preserve">the Glosten–Milgrom decision tree drawn on the board is the most important</w:t>
      </w:r>
      <w:r>
        <w:t xml:space="preserve"> </w:t>
      </w:r>
      <w:r>
        <w:t xml:space="preserve">artifact; have students copy it. Kyle is for completeness.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Why quote both sides rather than react? (A maker</w:t>
      </w:r>
      <w:r>
        <w:t xml:space="preserve"> </w:t>
      </w:r>
      <w:r>
        <w:t xml:space="preserve">commits in advance; the spread compensates for that.) Aren’t all orders</w:t>
      </w:r>
      <w:r>
        <w:t xml:space="preserve"> </w:t>
      </w:r>
      <w:r>
        <w:t xml:space="preserve">limit orders? (Mathematically yes, institutionally no — different fees and</w:t>
      </w:r>
      <w:r>
        <w:t xml:space="preserve"> </w:t>
      </w:r>
      <w:r>
        <w:t xml:space="preserve">priority.) The Roll estimator differs from the observed spread — is that a</w:t>
      </w:r>
      <w:r>
        <w:t xml:space="preserve"> </w:t>
      </w:r>
      <w:r>
        <w:t xml:space="preserve">bug? (No — it estimates the unobserved component; the gap is the finding.)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Goal: every student leaves with a working Python class</w:t>
      </w:r>
      <w:r>
        <w:t xml:space="preserve"> </w:t>
      </w:r>
      <w:r>
        <w:t xml:space="preserve">that reconstructs an L2 book from an event stream. Materials: a one-hour</w:t>
      </w:r>
      <w:r>
        <w:t xml:space="preserve"> </w:t>
      </w:r>
      <w:r>
        <w:t xml:space="preserve">Coincall BTC-PERP event file (JSON), a tutor-only reference solution, a</w:t>
      </w:r>
      <w:r>
        <w:t xml:space="preserve"> </w:t>
      </w:r>
      <w:r>
        <w:t xml:space="preserve">projector. Timing: greet/recap (0–10); live demo of loading the data and</w:t>
      </w:r>
      <w:r>
        <w:t xml:space="preserve"> </w:t>
      </w:r>
      <w:r>
        <w:t xml:space="preserve">one minute of manual reconstruction (10–20); pair programming on the</w:t>
      </w:r>
      <w:r>
        <w:t xml:space="preserve"> </w:t>
      </w:r>
      <w:r>
        <w:t xml:space="preserve">scaffold (20–60) — the most common bug is failing to clean up empty price</w:t>
      </w:r>
      <w:r>
        <w:t xml:space="preserve"> </w:t>
      </w:r>
      <w:r>
        <w:t xml:space="preserve">levels after a cancel; reconvene and debug one pair’s code together</w:t>
      </w:r>
      <w:r>
        <w:t xml:space="preserve"> </w:t>
      </w:r>
      <w:r>
        <w:t xml:space="preserve">(60–75); wrap up lecture-flagged questions (75–90). Save the working code;</w:t>
      </w:r>
      <w:r>
        <w:t xml:space="preserve"> </w:t>
      </w:r>
      <w:r>
        <w:t xml:space="preserve">it is reused all program.</w:t>
      </w:r>
    </w:p>
    <w:bookmarkEnd w:id="21"/>
    <w:bookmarkStart w:id="22" w:name="week-3-the-avellanedastoikov-model"/>
    <w:p>
      <w:pPr>
        <w:pStyle w:val="Heading3"/>
      </w:pPr>
      <w:r>
        <w:t xml:space="preserve">Week 3 — The Avellaneda–Stoikov Model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Students must leave with the full stochastic-control</w:t>
      </w:r>
      <w:r>
        <w:t xml:space="preserve"> </w:t>
      </w:r>
      <w:r>
        <w:t xml:space="preserve">pipeline as a worked example: dynamics → HJB → ansatz → ODE reduction →</w:t>
      </w:r>
      <w:r>
        <w:t xml:space="preserve"> </w:t>
      </w:r>
      <w:r>
        <w:t xml:space="preserve">closed-form solution. Weeks 4–5 are variations on this template.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1’s two key modelling choices: arithmetic</w:t>
      </w:r>
      <w:r>
        <w:t xml:space="preserve"> </w:t>
      </w:r>
      <w:r>
        <w:t xml:space="preserve">(not geometric) Brownian motion for the mid, and exponential (CARA)</w:t>
      </w:r>
      <w:r>
        <w:t xml:space="preserve"> </w:t>
      </w:r>
      <w:r>
        <w:t xml:space="preserve">utility, both for tractability — make sure students see these as choices.</w:t>
      </w:r>
      <w:r>
        <w:t xml:space="preserve"> </w:t>
      </w:r>
      <w:r>
        <w:t xml:space="preserve">Lecture 2’s centerpiece is the separation ansatz</w:t>
      </w:r>
      <w:r>
        <w:t xml:space="preserve"> </w:t>
      </w:r>
      <w:r>
        <w:t xml:space="preserve">V = −exp(−γ(x+qS))·θ(t,q); it recurs in every later control problem, so</w:t>
      </w:r>
      <w:r>
        <w:t xml:space="preserve"> </w:t>
      </w:r>
      <w:r>
        <w:t xml:space="preserve">attendance matters most here.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Why CARA? (Tractability — it decouples the value</w:t>
      </w:r>
      <w:r>
        <w:t xml:space="preserve"> </w:t>
      </w:r>
      <w:r>
        <w:t xml:space="preserve">function from wealth.) The ansatz seems to come from nowhere (it is</w:t>
      </w:r>
      <w:r>
        <w:t xml:space="preserve"> </w:t>
      </w:r>
      <w:r>
        <w:t xml:space="preserve">principled — multiplicative structure under CARA + arithmetic dynamics;</w:t>
      </w:r>
      <w:r>
        <w:t xml:space="preserve"> </w:t>
      </w:r>
      <w:r>
        <w:t xml:space="preserve">accept on faith, it recurs). Why is the half-spread roughly symmetric but</w:t>
      </w:r>
      <w:r>
        <w:t xml:space="preserve"> </w:t>
      </w:r>
      <w:r>
        <w:t xml:space="preserve">the reservation price asymmetric? (Different quantities — the reservation</w:t>
      </w:r>
      <w:r>
        <w:t xml:space="preserve"> </w:t>
      </w:r>
      <w:r>
        <w:t xml:space="preserve">price is the indifference point; the half-spread is the band width.) Huge</w:t>
      </w:r>
      <w:r>
        <w:t xml:space="preserve"> </w:t>
      </w:r>
      <w:r>
        <w:t xml:space="preserve">simulated P&amp;L? (The model assumes you are alone with exogenous flow; Weeks</w:t>
      </w:r>
      <w:r>
        <w:t xml:space="preserve"> </w:t>
      </w:r>
      <w:r>
        <w:t xml:space="preserve">5 and 9 add realism.)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Group whiteboard derivation (0–30) — the single most</w:t>
      </w:r>
      <w:r>
        <w:t xml:space="preserve"> </w:t>
      </w:r>
      <w:r>
        <w:t xml:space="preserve">important hour for many students; take your time. Then implement the</w:t>
      </w:r>
      <w:r>
        <w:t xml:space="preserve"> </w:t>
      </w:r>
      <w:r>
        <w:t xml:space="preserve">closed-form quotes in PyTorch (30–60) and run a γ sensitivity sweep</w:t>
      </w:r>
      <w:r>
        <w:t xml:space="preserve"> </w:t>
      </w:r>
      <w:r>
        <w:t xml:space="preserve">(60–80), aggregating inventory variance and Sharpe on the projector;</w:t>
      </w:r>
      <w:r>
        <w:t xml:space="preserve"> </w:t>
      </w:r>
      <w:r>
        <w:t xml:space="preserve">discuss where you would set γ for a real desk (80–90).</w:t>
      </w:r>
    </w:p>
    <w:bookmarkEnd w:id="22"/>
    <w:bookmarkStart w:id="23" w:name="Xea85fefb48070522f6e63a12e583ba1165ef877"/>
    <w:p>
      <w:pPr>
        <w:pStyle w:val="Heading3"/>
      </w:pPr>
      <w:r>
        <w:t xml:space="preserve">Week 4 — Stochastic Optimal Control in Continuous Time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Students leave with the abstract template — dynamic</w:t>
      </w:r>
      <w:r>
        <w:t xml:space="preserve"> </w:t>
      </w:r>
      <w:r>
        <w:t xml:space="preserve">programming principle, HJB, verification theorem — and the ability to</w:t>
      </w:r>
      <w:r>
        <w:t xml:space="preserve"> </w:t>
      </w:r>
      <w:r>
        <w:t xml:space="preserve">recognize when a problem fits it. The Merton problem reinforces, not</w:t>
      </w:r>
      <w:r>
        <w:t xml:space="preserve"> </w:t>
      </w:r>
      <w:r>
        <w:t xml:space="preserve">introduces, the Week 3 pattern.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derives HJB in generality with</w:t>
      </w:r>
      <w:r>
        <w:t xml:space="preserve"> </w:t>
      </w:r>
      <w:r>
        <w:t xml:space="preserve">Avellaneda–Stoikov as a special case; the infinitesimal generator often</w:t>
      </w:r>
      <w:r>
        <w:t xml:space="preserve"> </w:t>
      </w:r>
      <w:r>
        <w:t xml:space="preserve">needs re-explaining for weaker stochastic-calculus backgrounds. Lecture 2</w:t>
      </w:r>
      <w:r>
        <w:t xml:space="preserve"> </w:t>
      </w:r>
      <w:r>
        <w:t xml:space="preserve">states the verification theorem (the missing Week-3 piece) and contrasts</w:t>
      </w:r>
      <w:r>
        <w:t xml:space="preserve"> </w:t>
      </w:r>
      <w:r>
        <w:t xml:space="preserve">CARA with CRRA. Do not let students get stuck on viscosity solutions — not</w:t>
      </w:r>
      <w:r>
        <w:t xml:space="preserve"> </w:t>
      </w:r>
      <w:r>
        <w:t xml:space="preserve">central here.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Why is HJB necessary? (It encodes the DPP, which is</w:t>
      </w:r>
      <w:r>
        <w:t xml:space="preserve"> </w:t>
      </w:r>
      <w:r>
        <w:t xml:space="preserve">necessary by definition; the verification theorem gives sufficiency.) Why</w:t>
      </w:r>
      <w:r>
        <w:t xml:space="preserve"> </w:t>
      </w:r>
      <w:r>
        <w:t xml:space="preserve">does wealth appear under CRRA but not CARA? (Constant marginal utility of</w:t>
      </w:r>
      <w:r>
        <w:t xml:space="preserve"> </w:t>
      </w:r>
      <w:r>
        <w:t xml:space="preserve">wealth under CARA.) Verification vs. existence theorem? (We always have a</w:t>
      </w:r>
      <w:r>
        <w:t xml:space="preserve"> </w:t>
      </w:r>
      <w:r>
        <w:t xml:space="preserve">candidate, so we only need verification.)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Derive Merton under CARA (10–45), then CRRA (45–75),</w:t>
      </w:r>
      <w:r>
        <w:t xml:space="preserve"> </w:t>
      </w:r>
      <w:r>
        <w:t xml:space="preserve">faster the second time; side-by-side comparison (75–90). If the cohort is</w:t>
      </w:r>
      <w:r>
        <w:t xml:space="preserve"> </w:t>
      </w:r>
      <w:r>
        <w:t xml:space="preserve">strong, compress CARA and spend time on Almgren–Chriss instead.</w:t>
      </w:r>
    </w:p>
    <w:bookmarkEnd w:id="23"/>
    <w:bookmarkStart w:id="24" w:name="Xc15f555fd31aeac0b968bd1bd37727bee1412f0"/>
    <w:p>
      <w:pPr>
        <w:pStyle w:val="Heading3"/>
      </w:pPr>
      <w:r>
        <w:t xml:space="preserve">Week 5 — The Avellaneda–Stoikov Engine ⟶ Milestone 1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Two things: students understand how the closed form becomes</w:t>
      </w:r>
      <w:r>
        <w:t xml:space="preserve"> </w:t>
      </w:r>
      <w:r>
        <w:t xml:space="preserve">running code, and they submit Milestone 1, the linear-asset</w:t>
      </w:r>
      <w:r>
        <w:t xml:space="preserve"> </w:t>
      </w:r>
      <w:r>
        <w:t xml:space="preserve">Avellaneda–Stoikov engine in Python/PyTorch.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is architecture and the move from</w:t>
      </w:r>
      <w:r>
        <w:t xml:space="preserve"> </w:t>
      </w:r>
      <w:r>
        <w:t xml:space="preserve">continuous time to discrete events; emphasize calibrating λ(δ)=A·exp(−κδ)</w:t>
      </w:r>
      <w:r>
        <w:t xml:space="preserve"> </w:t>
      </w:r>
      <w:r>
        <w:t xml:space="preserve">by maximum likelihood rather than a naive curve fit. Lecture 2 is</w:t>
      </w:r>
      <w:r>
        <w:t xml:space="preserve"> </w:t>
      </w:r>
      <w:r>
        <w:t xml:space="preserve">calibration and validation, and formally announces the milestone and</w:t>
      </w:r>
      <w:r>
        <w:t xml:space="preserve"> </w:t>
      </w:r>
      <w:r>
        <w:t xml:space="preserve">rubric.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Calibrated intensities look implausible (crypto</w:t>
      </w:r>
      <w:r>
        <w:t xml:space="preserve"> </w:t>
      </w:r>
      <w:r>
        <w:t xml:space="preserve">fill data is noisy; fit on one week, then two, then four — estimates</w:t>
      </w:r>
      <w:r>
        <w:t xml:space="preserve"> </w:t>
      </w:r>
      <w:r>
        <w:t xml:space="preserve">should stabilize). Backtest P&amp;L is negative (check: spread too tight vs.</w:t>
      </w:r>
      <w:r>
        <w:t xml:space="preserve"> </w:t>
      </w:r>
      <w:r>
        <w:t xml:space="preserve">calibrated intensities, inventory penalty too small, or a regime shift in</w:t>
      </w:r>
      <w:r>
        <w:t xml:space="preserve"> </w:t>
      </w:r>
      <w:r>
        <w:t xml:space="preserve">the window — before suspecting the model). My PyTorch engine is slow</w:t>
      </w:r>
      <w:r>
        <w:t xml:space="preserve"> </w:t>
      </w:r>
      <w:r>
        <w:t xml:space="preserve">(vectorize over inventory; avoid Python loops over the grid).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⚑ Milestone week — block four extra hours of code review.</w:t>
      </w:r>
      <w:r>
        <w:t xml:space="preserve"> </w:t>
      </w:r>
      <w:r>
        <w:t xml:space="preserve">Whiteboard any remaining derivation gaps (0–25), then live code review of</w:t>
      </w:r>
      <w:r>
        <w:t xml:space="preserve"> </w:t>
      </w:r>
      <w:r>
        <w:t xml:space="preserve">one volunteer’s engine (25–70) — this reveals cohort-wide bugs you address</w:t>
      </w:r>
      <w:r>
        <w:t xml:space="preserve"> </w:t>
      </w:r>
      <w:r>
        <w:t xml:space="preserve">in the wrap-up — then open Q&amp;A on the milestone acceptance criteria</w:t>
      </w:r>
      <w:r>
        <w:t xml:space="preserve"> </w:t>
      </w:r>
      <w:r>
        <w:t xml:space="preserve">(70–90).</w:t>
      </w:r>
    </w:p>
    <w:bookmarkEnd w:id="24"/>
    <w:bookmarkStart w:id="25" w:name="Xbe4cb35d733889510926226f5521da363105cdc"/>
    <w:p>
      <w:pPr>
        <w:pStyle w:val="Heading3"/>
      </w:pPr>
      <w:r>
        <w:t xml:space="preserve">Week 6 — Options Pricing, the Volatility Surface, and Calibration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Two tracks: conceptually, implied-vol surfaces and their</w:t>
      </w:r>
      <w:r>
        <w:t xml:space="preserve"> </w:t>
      </w:r>
      <w:r>
        <w:t xml:space="preserve">no-arbitrage constraints; practically, calibrating SVI and SABR to messy</w:t>
      </w:r>
      <w:r>
        <w:t xml:space="preserve"> </w:t>
      </w:r>
      <w:r>
        <w:t xml:space="preserve">Coincall data. Students should leave knowing calibration is half craft,</w:t>
      </w:r>
      <w:r>
        <w:t xml:space="preserve"> </w:t>
      </w:r>
      <w:r>
        <w:t xml:space="preserve">half theory.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spends the most time on calendar and</w:t>
      </w:r>
      <w:r>
        <w:t xml:space="preserve"> </w:t>
      </w:r>
      <w:r>
        <w:t xml:space="preserve">butterfly arbitrage (the constraints naive parameterizations violate);</w:t>
      </w:r>
      <w:r>
        <w:t xml:space="preserve"> </w:t>
      </w:r>
      <w:r>
        <w:t xml:space="preserve">vanna/volga are introduced but not tested until Week 8. Lecture 2</w:t>
      </w:r>
      <w:r>
        <w:t xml:space="preserve"> </w:t>
      </w:r>
      <w:r>
        <w:t xml:space="preserve">live-demos a calibration that first fails — the diagnostic process is more</w:t>
      </w:r>
      <w:r>
        <w:t xml:space="preserve"> </w:t>
      </w:r>
      <w:r>
        <w:t xml:space="preserve">valuable than the eventual fit. Students fit using PyTorch autograd for</w:t>
      </w:r>
      <w:r>
        <w:t xml:space="preserve"> </w:t>
      </w:r>
      <w:r>
        <w:t xml:space="preserve">the Jacobians, so they need not derive gradients by hand.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Why two parameterizations? (They encode different</w:t>
      </w:r>
      <w:r>
        <w:t xml:space="preserve"> </w:t>
      </w:r>
      <w:r>
        <w:t xml:space="preserve">priors and fail in different regimes.) Huge residuals on far-OTM puts?</w:t>
      </w:r>
      <w:r>
        <w:t xml:space="preserve"> </w:t>
      </w:r>
      <w:r>
        <w:t xml:space="preserve">(Wide spreads / low volume — weight by volume or inverse spread.) SVI</w:t>
      </w:r>
      <w:r>
        <w:t xml:space="preserve"> </w:t>
      </w:r>
      <w:r>
        <w:t xml:space="preserve">params jump day to day? (Often the initial guess — seed from yesterday’s</w:t>
      </w:r>
      <w:r>
        <w:t xml:space="preserve"> </w:t>
      </w:r>
      <w:r>
        <w:t xml:space="preserve">fit.) SABR vs. Monte Carlo mismatch at long maturities? (Hagan is a</w:t>
      </w:r>
      <w:r>
        <w:t xml:space="preserve"> </w:t>
      </w:r>
      <w:r>
        <w:t xml:space="preserve">small-time expansion; MC is the truth.)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Every student produces a working SVI and SABR calibration</w:t>
      </w:r>
      <w:r>
        <w:t xml:space="preserve"> </w:t>
      </w:r>
      <w:r>
        <w:t xml:space="preserve">with diagnostics on a chosen snapshot. Keep a backup, slightly messier</w:t>
      </w:r>
      <w:r>
        <w:t xml:space="preserve"> </w:t>
      </w:r>
      <w:r>
        <w:t xml:space="preserve">snapshot ready in case the chosen one is too clean for the</w:t>
      </w:r>
      <w:r>
        <w:t xml:space="preserve"> </w:t>
      </w:r>
      <w:r>
        <w:t xml:space="preserve">“crypto</w:t>
      </w:r>
      <w:r>
        <w:t xml:space="preserve"> </w:t>
      </w:r>
      <w:r>
        <w:t xml:space="preserve">calibration is hard”</w:t>
      </w:r>
      <w:r>
        <w:t xml:space="preserve"> </w:t>
      </w:r>
      <w:r>
        <w:t xml:space="preserve">lesson to land.</w:t>
      </w:r>
    </w:p>
    <w:bookmarkEnd w:id="25"/>
    <w:bookmarkStart w:id="26" w:name="X9dc96d5253aeaa758ed185b9e9a8b89589ab787"/>
    <w:p>
      <w:pPr>
        <w:pStyle w:val="Heading3"/>
      </w:pPr>
      <w:r>
        <w:t xml:space="preserve">Week 7 — Fast Computation (Prices, Greeks, Implied Vol, Surfaces) ⟶ Milestone 2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The week is about latency. Students must internalize that a</w:t>
      </w:r>
      <w:r>
        <w:t xml:space="preserve"> </w:t>
      </w:r>
      <w:r>
        <w:t xml:space="preserve">correct but slow pricer is not enough. The tools are characteristic-</w:t>
      </w:r>
      <w:r>
        <w:t xml:space="preserve"> </w:t>
      </w:r>
      <w:r>
        <w:t xml:space="preserve">function pricing, robust implied-vol inversion, and — the new emphasis —</w:t>
      </w:r>
      <w:r>
        <w:t xml:space="preserve"> </w:t>
      </w:r>
      <w:r>
        <w:rPr>
          <w:b/>
          <w:bCs/>
        </w:rPr>
        <w:t xml:space="preserve">binding C++ to Python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. The end is a sub-5ms surface</w:t>
      </w:r>
      <w:r>
        <w:t xml:space="preserve"> </w:t>
      </w:r>
      <w:r>
        <w:t xml:space="preserve">revaluation callable from Python.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1: COS is the workhorse (Carr–Madan for</w:t>
      </w:r>
      <w:r>
        <w:t xml:space="preserve"> </w:t>
      </w:r>
      <w:r>
        <w:t xml:space="preserve">context); the truncation interval must be computed from the cumulants, not</w:t>
      </w:r>
      <w:r>
        <w:t xml:space="preserve"> </w:t>
      </w:r>
      <w:r>
        <w:t xml:space="preserve">guessed; robust implied-vol inversion needs a good initial guess</w:t>
      </w:r>
      <w:r>
        <w:t xml:space="preserve"> </w:t>
      </w:r>
      <w:r>
        <w:t xml:space="preserve">(Jäckel-style) plus a safeguarded Newton/Halley step. Lecture 2 is the</w:t>
      </w:r>
      <w:r>
        <w:t xml:space="preserve"> </w:t>
      </w:r>
      <w:r>
        <w:rPr>
          <w:b/>
          <w:bCs/>
        </w:rPr>
        <w:t xml:space="preserve">binder lecture</w:t>
      </w:r>
      <w:r>
        <w:t xml:space="preserve">: structure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module, build it with CMake,</w:t>
      </w:r>
      <w:r>
        <w:t xml:space="preserve"> </w:t>
      </w:r>
      <w:r>
        <w:t xml:space="preserve">pass NumPy/PyTorch tensors without copying (buffer protocol /</w:t>
      </w:r>
      <w:r>
        <w:t xml:space="preserve"> </w:t>
      </w:r>
      <w:r>
        <w:rPr>
          <w:rStyle w:val="VerbatimChar"/>
        </w:rPr>
        <w:t xml:space="preserve">py::array_t</w:t>
      </w:r>
      <w:r>
        <w:t xml:space="preserve">), release the GIL around the hot loop, and validate C++</w:t>
      </w:r>
      <w:r>
        <w:t xml:space="preserve"> </w:t>
      </w:r>
      <w:r>
        <w:t xml:space="preserve">Greeks against PyTorch autograd.</w:t>
      </w:r>
      <w:r>
        <w:t xml:space="preserve"> </w:t>
      </w:r>
      <w:r>
        <w:rPr>
          <w:b/>
          <w:bCs/>
        </w:rPr>
        <w:t xml:space="preserve">Emphasize: autograd is the oracle for</w:t>
      </w:r>
      <w:r>
        <w:rPr>
          <w:b/>
          <w:bCs/>
        </w:rPr>
        <w:t xml:space="preserve"> </w:t>
      </w:r>
      <w:r>
        <w:rPr>
          <w:b/>
          <w:bCs/>
        </w:rPr>
        <w:t xml:space="preserve">Greeks; C++ is for speed.</w:t>
      </w:r>
      <w:r>
        <w:t xml:space="preserve"> </w:t>
      </w:r>
      <w:r>
        <w:t xml:space="preserve">We deliberately avoid hand-written adjoint AD</w:t>
      </w:r>
      <w:r>
        <w:t xml:space="preserve"> </w:t>
      </w:r>
      <w:r>
        <w:t xml:space="preserve">in C++ — students found it confusing and it is unnecessary when autograd</w:t>
      </w:r>
      <w:r>
        <w:t xml:space="preserve"> </w:t>
      </w:r>
      <w:r>
        <w:t xml:space="preserve">provides the reference.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“Why are CF methods faster than Black–Scholes?”</w:t>
      </w:r>
      <w:r>
        <w:t xml:space="preserve"> </w:t>
      </w:r>
      <w:r>
        <w:t xml:space="preserve">(They’re not for BS — the point is Heston, where there’s no closed form.)</w:t>
      </w:r>
      <w:r>
        <w:t xml:space="preserve"> </w:t>
      </w:r>
      <w:r>
        <w:t xml:space="preserve">“My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build can’t find Python/pybind11 headers.”</w:t>
      </w:r>
      <w:r>
        <w:t xml:space="preserve"> </w:t>
      </w:r>
      <w:r>
        <w:t xml:space="preserve">(CMake</w:t>
      </w:r>
      <w:r>
        <w:t xml:space="preserve"> </w:t>
      </w:r>
      <w:r>
        <w:rPr>
          <w:rStyle w:val="VerbatimChar"/>
        </w:rPr>
        <w:t xml:space="preserve">find_package(pybind11)</w:t>
      </w:r>
      <w:r>
        <w:t xml:space="preserve">; use the provided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scaffold.)</w:t>
      </w:r>
      <w:r>
        <w:t xml:space="preserve"> </w:t>
      </w:r>
      <w:r>
        <w:t xml:space="preserve">“My</w:t>
      </w:r>
      <w:r>
        <w:t xml:space="preserve"> </w:t>
      </w:r>
      <w:r>
        <w:t xml:space="preserve">C++ Greeks disagree with autograd.”</w:t>
      </w:r>
      <w:r>
        <w:t xml:space="preserve"> </w:t>
      </w:r>
      <w:r>
        <w:t xml:space="preserve">(Usually a units or</w:t>
      </w:r>
      <w:r>
        <w:t xml:space="preserve"> </w:t>
      </w:r>
      <w:r>
        <w:t xml:space="preserve">finite-difference-bump issue in the comparison harness — or the GIL not</w:t>
      </w:r>
      <w:r>
        <w:t xml:space="preserve"> </w:t>
      </w:r>
      <w:r>
        <w:t xml:space="preserve">released causing a benchmarking artifact.)</w:t>
      </w:r>
      <w:r>
        <w:t xml:space="preserve"> </w:t>
      </w:r>
      <w:r>
        <w:t xml:space="preserve">“COS won’t match within 1e-4.”</w:t>
      </w:r>
      <w:r>
        <w:t xml:space="preserve"> </w:t>
      </w:r>
      <w:r>
        <w:t xml:space="preserve">(Truncation interval from cumulants; raise N to 2^10+.)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⚑ Milestone week — block four extra hours of code review.</w:t>
      </w:r>
      <w:r>
        <w:t xml:space="preserve"> </w:t>
      </w:r>
      <w:r>
        <w:t xml:space="preserve">Profile a naive Python pricer (10–40), move the kernel to C++ and bind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(40–70), re-benchmark and confirm the surface revalues</w:t>
      </w:r>
      <w:r>
        <w:t xml:space="preserve"> </w:t>
      </w:r>
      <w:r>
        <w:t xml:space="preserve">under 5 ms with Greeks matching autograd (70–90). Have the reference</w:t>
      </w:r>
      <w:r>
        <w:t xml:space="preserve"> </w:t>
      </w:r>
      <w:r>
        <w:t xml:space="preserve">timings ready so students know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looks like. The latency target</w:t>
      </w:r>
      <w:r>
        <w:t xml:space="preserve"> </w:t>
      </w:r>
      <w:r>
        <w:t xml:space="preserve">is a hard gate — be ready for arguments and refer to the rubric.</w:t>
      </w:r>
    </w:p>
    <w:bookmarkEnd w:id="26"/>
    <w:bookmarkStart w:id="27" w:name="Xc9bcb70753662f9cf9c30aa35cf3cc0b8f55257"/>
    <w:p>
      <w:pPr>
        <w:pStyle w:val="Heading3"/>
      </w:pPr>
      <w:r>
        <w:t xml:space="preserve">Week 8 — Options Market Making Theory and Dynamic Hedging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The conceptual centerpiece: options market making is</w:t>
      </w:r>
      <w:r>
        <w:t xml:space="preserve"> </w:t>
      </w:r>
      <w:r>
        <w:t xml:space="preserve">Avellaneda–Stoikov with a vector-valued inventory, and the quoting</w:t>
      </w:r>
      <w:r>
        <w:t xml:space="preserve"> </w:t>
      </w:r>
      <w:r>
        <w:t xml:space="preserve">strategy interacts with an explicit hedging policy. The most cognitively</w:t>
      </w:r>
      <w:r>
        <w:t xml:space="preserve"> </w:t>
      </w:r>
      <w:r>
        <w:t xml:space="preserve">demanding week.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replaces scalar inventory with a vector of</w:t>
      </w:r>
      <w:r>
        <w:t xml:space="preserve"> </w:t>
      </w:r>
      <w:r>
        <w:t xml:space="preserve">Greeks and the scalar penalty with a quadratic form, derives the</w:t>
      </w:r>
      <w:r>
        <w:t xml:space="preserve"> </w:t>
      </w:r>
      <w:r>
        <w:t xml:space="preserve">multi-Greek HJB, and verifies reduction to Avellaneda–Stoikov in 1-D.</w:t>
      </w:r>
      <w:r>
        <w:t xml:space="preserve"> </w:t>
      </w:r>
      <w:r>
        <w:t xml:space="preserve">Discourage setting the penalty matrix to the identity (defer the</w:t>
      </w:r>
      <w:r>
        <w:t xml:space="preserve"> </w:t>
      </w:r>
      <w:r>
        <w:t xml:space="preserve">“how to</w:t>
      </w:r>
      <w:r>
        <w:t xml:space="preserve"> </w:t>
      </w:r>
      <w:r>
        <w:t xml:space="preserve">choose it”</w:t>
      </w:r>
      <w:r>
        <w:t xml:space="preserve"> </w:t>
      </w:r>
      <w:r>
        <w:t xml:space="preserve">discussion to office hours). Lecture 2 (Taleb) derives the</w:t>
      </w:r>
      <w:r>
        <w:t xml:space="preserve"> </w:t>
      </w:r>
      <w:r>
        <w:t xml:space="preserve">gamma–theta–variance identity — the conceptual key to options trading —</w:t>
      </w:r>
      <w:r>
        <w:t xml:space="preserve"> </w:t>
      </w:r>
      <w:r>
        <w:t xml:space="preserve">and presents external vs. integrated hedging and perpetual futures as the</w:t>
      </w:r>
      <w:r>
        <w:t xml:space="preserve"> </w:t>
      </w:r>
      <w:r>
        <w:t xml:space="preserve">hedge instrument.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Why is inventory a vector? (Aggregated Greeks, not</w:t>
      </w:r>
      <w:r>
        <w:t xml:space="preserve"> </w:t>
      </w:r>
      <w:r>
        <w:t xml:space="preserve">contract positions — long one call and short another at a different strike</w:t>
      </w:r>
      <w:r>
        <w:t xml:space="preserve"> </w:t>
      </w:r>
      <w:r>
        <w:t xml:space="preserve">is zero contracts but nonzero gamma/vega.) How to choose the penalty</w:t>
      </w:r>
      <w:r>
        <w:t xml:space="preserve"> </w:t>
      </w:r>
      <w:r>
        <w:t xml:space="preserve">matrix? (Calibrate to the empirical Greek covariance or a desired</w:t>
      </w:r>
      <w:r>
        <w:t xml:space="preserve"> </w:t>
      </w:r>
      <w:r>
        <w:t xml:space="preserve">risk-equivalence; it is part of the model design.) Hedge with perps or the</w:t>
      </w:r>
      <w:r>
        <w:t xml:space="preserve"> </w:t>
      </w:r>
      <w:r>
        <w:t xml:space="preserve">underlying? (Perps — lower cost and the options are quoted against the</w:t>
      </w:r>
      <w:r>
        <w:t xml:space="preserve"> </w:t>
      </w:r>
      <w:r>
        <w:t xml:space="preserve">perp index; account for funding.)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Multi-Greek HJB derivation (0–35), then a PyTorch</w:t>
      </w:r>
      <w:r>
        <w:t xml:space="preserve"> </w:t>
      </w:r>
      <w:r>
        <w:t xml:space="preserve">hedged-book simulation under two policies (35–70) with P&amp;L distributions</w:t>
      </w:r>
      <w:r>
        <w:t xml:space="preserve"> </w:t>
      </w:r>
      <w:r>
        <w:t xml:space="preserve">aggregated on the projector; discuss which policy wins in which regime and</w:t>
      </w:r>
      <w:r>
        <w:t xml:space="preserve"> </w:t>
      </w:r>
      <w:r>
        <w:t xml:space="preserve">tie to the Milestone 3 design (70–90).</w:t>
      </w:r>
    </w:p>
    <w:bookmarkEnd w:id="27"/>
    <w:bookmarkStart w:id="28" w:name="X8e89478766234ff3eb69e239641f14412cafcaa"/>
    <w:p>
      <w:pPr>
        <w:pStyle w:val="Heading3"/>
      </w:pPr>
      <w:r>
        <w:t xml:space="preserve">Week 9 — Backtesting, Risk Analysis, and Taker Strategies ⟶ Milestone 3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Students assemble everything into a working backtest on</w:t>
      </w:r>
      <w:r>
        <w:t xml:space="preserve"> </w:t>
      </w:r>
      <w:r>
        <w:t xml:space="preserve">three months of Coincall data — more engineering discipline than new</w:t>
      </w:r>
      <w:r>
        <w:t xml:space="preserve"> </w:t>
      </w:r>
      <w:r>
        <w:t xml:space="preserve">theory — and gain a practitioner’s view of taker flow from the guest</w:t>
      </w:r>
      <w:r>
        <w:t xml:space="preserve"> </w:t>
      </w:r>
      <w:r>
        <w:t xml:space="preserve">lecture.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covers event-driven architecture and the</w:t>
      </w:r>
      <w:r>
        <w:t xml:space="preserve"> </w:t>
      </w:r>
      <w:r>
        <w:t xml:space="preserve">pitfalls (look-ahead, unrealistic fills, expiry handling) and the</w:t>
      </w:r>
      <w:r>
        <w:t xml:space="preserve"> </w:t>
      </w:r>
      <w:r>
        <w:t xml:space="preserve">attribution sum-to-total check (a mismatch is always a bug).</w:t>
      </w:r>
      <w:r>
        <w:t xml:space="preserve"> </w:t>
      </w:r>
      <w:r>
        <w:rPr>
          <w:b/>
          <w:bCs/>
        </w:rPr>
        <w:t xml:space="preserve">Lecture 2</w:t>
      </w:r>
      <w:r>
        <w:rPr>
          <w:b/>
          <w:bCs/>
        </w:rPr>
        <w:t xml:space="preserve"> </w:t>
      </w:r>
      <w:r>
        <w:rPr>
          <w:b/>
          <w:bCs/>
        </w:rPr>
        <w:t xml:space="preserve">is the guest session (Fenni Kang) on taker strategies</w:t>
      </w:r>
      <w:r>
        <w:t xml:space="preserve"> </w:t>
      </w:r>
      <w:r>
        <w:t xml:space="preserve">— when/why takers</w:t>
      </w:r>
      <w:r>
        <w:t xml:space="preserve"> </w:t>
      </w:r>
      <w:r>
        <w:t xml:space="preserve">cross the spread, the signals behind aggressive flow, and what taker</w:t>
      </w:r>
      <w:r>
        <w:t xml:space="preserve"> </w:t>
      </w:r>
      <w:r>
        <w:t xml:space="preserve">behaviour implies for order-flow toxicity. Brief students beforehand to</w:t>
      </w:r>
      <w:r>
        <w:t xml:space="preserve"> </w:t>
      </w:r>
      <w:r>
        <w:t xml:space="preserve">come with one question linking taker flow to their own fill simulator.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Suspiciously high P&amp;L? (Always a bug — look-ahead in</w:t>
      </w:r>
      <w:r>
        <w:t xml:space="preserve"> </w:t>
      </w:r>
      <w:r>
        <w:t xml:space="preserve">the surface, 100% fills, missing costs/funding.) Fill-simulator calibration</w:t>
      </w:r>
      <w:r>
        <w:t xml:space="preserve"> </w:t>
      </w:r>
      <w:r>
        <w:t xml:space="preserve">seems circular? (Use a holdout: calibrate on one month, validate on a</w:t>
      </w:r>
      <w:r>
        <w:t xml:space="preserve"> </w:t>
      </w:r>
      <w:r>
        <w:t xml:space="preserve">disjoint month.) Attribution doesn’t sum to total? (Timing — streams</w:t>
      </w:r>
      <w:r>
        <w:t xml:space="preserve"> </w:t>
      </w:r>
      <w:r>
        <w:t xml:space="preserve">computed from different state snapshots.) Sharpe of 6 over three months?</w:t>
      </w:r>
      <w:r>
        <w:t xml:space="preserve"> </w:t>
      </w:r>
      <w:r>
        <w:t xml:space="preserve">(Estimation error — require a block-bootstrap CI and the deflated Sharpe.)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⚑ Milestone week — six to eight hours of code review.</w:t>
      </w:r>
      <w:r>
        <w:t xml:space="preserve"> </w:t>
      </w:r>
      <w:r>
        <w:t xml:space="preserve">Each student presents one regime (one week of the window) and walks</w:t>
      </w:r>
      <w:r>
        <w:t xml:space="preserve"> </w:t>
      </w:r>
      <w:r>
        <w:t xml:space="preserve">through the P&amp;L attribution; probe for the pitfalls. This is the dress</w:t>
      </w:r>
      <w:r>
        <w:t xml:space="preserve"> </w:t>
      </w:r>
      <w:r>
        <w:t xml:space="preserve">rehearsal for the milestone.</w:t>
      </w:r>
    </w:p>
    <w:bookmarkEnd w:id="28"/>
    <w:bookmarkStart w:id="29" w:name="X42024a917cab0c70a2b05721a702d71de93690c"/>
    <w:p>
      <w:pPr>
        <w:pStyle w:val="Heading3"/>
      </w:pPr>
      <w:r>
        <w:t xml:space="preserve">Week 10 — Advanced Avellaneda–Stoikov, Structured Products, and Final Presentations</w:t>
      </w:r>
    </w:p>
    <w:p>
      <w:pPr>
        <w:pStyle w:val="FirstParagraph"/>
      </w:pPr>
      <w:r>
        <w:rPr>
          <w:b/>
          <w:bCs/>
        </w:rPr>
        <w:t xml:space="preserve">THE SPINE.</w:t>
      </w:r>
      <w:r>
        <w:t xml:space="preserve"> </w:t>
      </w:r>
      <w:r>
        <w:t xml:space="preserve">Students choose one advanced Avellaneda–Stoikov extension,</w:t>
      </w:r>
      <w:r>
        <w:t xml:space="preserve"> </w:t>
      </w:r>
      <w:r>
        <w:t xml:space="preserve">implement it in a week, and present the final report. Your role shifts</w:t>
      </w:r>
      <w:r>
        <w:t xml:space="preserve"> </w:t>
      </w:r>
      <w:r>
        <w:t xml:space="preserve">from instruction to mentorship: help each student scope realistically — a</w:t>
      </w:r>
      <w:r>
        <w:t xml:space="preserve"> </w:t>
      </w:r>
      <w:r>
        <w:t xml:space="preserve">clean partial result beats an incomplete grand one.</w:t>
      </w:r>
    </w:p>
    <w:p>
      <w:pPr>
        <w:pStyle w:val="BodyText"/>
      </w:pPr>
      <w:r>
        <w:rPr>
          <w:b/>
          <w:bCs/>
        </w:rPr>
        <w:t xml:space="preserve">Lecture emphasis.</w:t>
      </w:r>
      <w:r>
        <w:t xml:space="preserve"> </w:t>
      </w:r>
      <w:r>
        <w:t xml:space="preserve">Lecture 1 surveys the extension menu (multi-asset,</w:t>
      </w:r>
      <w:r>
        <w:t xml:space="preserve"> </w:t>
      </w:r>
      <w:r>
        <w:t xml:space="preserve">adverse selection, signal-driven, discrete inventory, robust); students</w:t>
      </w:r>
      <w:r>
        <w:t xml:space="preserve"> </w:t>
      </w:r>
      <w:r>
        <w:t xml:space="preserve">choose by end of day.</w:t>
      </w:r>
      <w:r>
        <w:t xml:space="preserve"> </w:t>
      </w:r>
      <w:r>
        <w:rPr>
          <w:b/>
          <w:bCs/>
        </w:rPr>
        <w:t xml:space="preserve">Lecture 2 is the guest session (Fenni Kang) on</w:t>
      </w:r>
      <w:r>
        <w:rPr>
          <w:b/>
          <w:bCs/>
        </w:rPr>
        <w:t xml:space="preserve"> </w:t>
      </w:r>
      <w:r>
        <w:rPr>
          <w:b/>
          <w:bCs/>
        </w:rPr>
        <w:t xml:space="preserve">corporate usage of options and structured products</w:t>
      </w:r>
      <w:r>
        <w:t xml:space="preserve"> </w:t>
      </w:r>
      <w:r>
        <w:t xml:space="preserve">— collars,</w:t>
      </w:r>
      <w:r>
        <w:t xml:space="preserve"> </w:t>
      </w:r>
      <w:r>
        <w:t xml:space="preserve">accumulators/decumulators, and coupon products — and how that flow lands</w:t>
      </w:r>
      <w:r>
        <w:t xml:space="preserve"> </w:t>
      </w:r>
      <w:r>
        <w:t xml:space="preserve">on the market-maker’s book. It closes with research-communication</w:t>
      </w:r>
      <w:r>
        <w:t xml:space="preserve"> </w:t>
      </w:r>
      <w:r>
        <w:t xml:space="preserve">guidance.</w:t>
      </w:r>
    </w:p>
    <w:p>
      <w:pPr>
        <w:pStyle w:val="BodyText"/>
      </w:pPr>
      <w:r>
        <w:rPr>
          <w:b/>
          <w:bCs/>
        </w:rPr>
        <w:t xml:space="preserve">Common confusions.</w:t>
      </w:r>
      <w:r>
        <w:t xml:space="preserve"> </w:t>
      </w:r>
      <w:r>
        <w:t xml:space="preserve">“My extension isn’t working — should I switch?”</w:t>
      </w:r>
      <w:r>
        <w:t xml:space="preserve"> </w:t>
      </w:r>
      <w:r>
        <w:t xml:space="preserve">(No time to restart — write up the smallest version that works and</w:t>
      </w:r>
      <w:r>
        <w:t xml:space="preserve"> </w:t>
      </w:r>
      <w:r>
        <w:t xml:space="preserve">acknowledge limitations.) Report length? (≤ 30 pages, quality over</w:t>
      </w:r>
      <w:r>
        <w:t xml:space="preserve"> </w:t>
      </w:r>
      <w:r>
        <w:t xml:space="preserve">length.) LLM use? (Writing support only, not content generation — see Part</w:t>
      </w:r>
      <w:r>
        <w:t xml:space="preserve"> </w:t>
      </w:r>
      <w:r>
        <w:t xml:space="preserve">IV.)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Final dry-run presentations (15 minutes each), cohort</w:t>
      </w:r>
      <w:r>
        <w:t xml:space="preserve"> </w:t>
      </w:r>
      <w:r>
        <w:t xml:space="preserve">feedback, tutor focused on the questions an industry audience would ask. Be</w:t>
      </w:r>
      <w:r>
        <w:t xml:space="preserve"> </w:t>
      </w:r>
      <w:r>
        <w:t xml:space="preserve">tough but constructive — expose problems while there is still time to fix</w:t>
      </w:r>
      <w:r>
        <w:t xml:space="preserve"> </w:t>
      </w:r>
      <w:r>
        <w:t xml:space="preserve">them. Submit feedback rubrics to the mentor.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rt-iii.-milestone-evaluation-rubrics"/>
    <w:p>
      <w:pPr>
        <w:pStyle w:val="Heading2"/>
      </w:pPr>
      <w:r>
        <w:t xml:space="preserve">Part III. Milestone Evaluation Rubrics</w:t>
      </w:r>
    </w:p>
    <w:p>
      <w:pPr>
        <w:pStyle w:val="FirstParagraph"/>
      </w:pPr>
      <w:r>
        <w:t xml:space="preserve">Each milestone is graded out of 100. The final milestone grade is the</w:t>
      </w:r>
      <w:r>
        <w:t xml:space="preserve"> </w:t>
      </w:r>
      <w:r>
        <w:t xml:space="preserve">average of two independent evaluations (yours and the mentor’s);</w:t>
      </w:r>
      <w:r>
        <w:t xml:space="preserve"> </w:t>
      </w:r>
      <w:r>
        <w:t xml:space="preserve">discrepancies over 10 points trigger a third reviewer.</w:t>
      </w:r>
    </w:p>
    <w:bookmarkStart w:id="31" w:name="X9c171ea221d58b861d2fb564f7ef87a58f270ae"/>
    <w:p>
      <w:pPr>
        <w:pStyle w:val="Heading3"/>
      </w:pPr>
      <w:r>
        <w:t xml:space="preserve">3.1 Milestone 1 — Linear-Asset Avellaneda–Stoikov Engine (Week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PyTorch quotes match the closed-form asymptotic formula within 1e-6 on a synthetic problem with known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 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ML calibration with χ² goodness-of-fit; student demonstrates awareness of the fit’s limitations.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Identical config → identical results under a fixed seed. Non-reproducibility is an automatic −15.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Backtest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P&amp;L within ±50% of the mentor’s reference on the same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Quote computation vectorized over inventory in PyTorch (no Python grid loop).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Lints; type hints;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over the core quote computation.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≤ 10 pp.; follows the Avellaneda–Stoikov paper structure; honest limitations.</w:t>
            </w:r>
          </w:p>
        </w:tc>
      </w:tr>
    </w:tbl>
    <w:bookmarkEnd w:id="31"/>
    <w:bookmarkStart w:id="32" w:name="X8a4ef1d8e507446933002998c0ff5cd481203cb"/>
    <w:p>
      <w:pPr>
        <w:pStyle w:val="Heading3"/>
      </w:pPr>
      <w:r>
        <w:t xml:space="preserve">3.2 Milestone 2 — Fast Pricing and Greeks Library (Week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Max relative error 1e-4 vs. Coincall reference across the BTC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C++ Greeks within 1e-4 of the PyTorch-autograd reference for all six Greeks (delta, gamma, vega, theta, vanna, volga).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(full surface)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300–500 contracts revalued with full Greek vector in under 5 ms, one CPU core.</w:t>
            </w:r>
            <w:r>
              <w:t xml:space="preserve"> </w:t>
            </w:r>
            <w:r>
              <w:rPr>
                <w:b/>
                <w:bCs/>
              </w:rPr>
              <w:t xml:space="preserve">Hard gate: failing caps the grade at 70.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pybind11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Module builds with CMake, imports cleanly from Python, passes tensors without unnecessary copies.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Implied-vol robustness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Inversion converges across the surface including deep wings and short expiries.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Cover all pricers, the implied-vol solver, and the surface adapter, plus one edge 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Latency reported as a distribution (histogram), with optimization choices explained.</w:t>
            </w:r>
          </w:p>
        </w:tc>
      </w:tr>
    </w:tbl>
    <w:bookmarkEnd w:id="32"/>
    <w:bookmarkStart w:id="33" w:name="X130a7a738bb34b43f11a88b109c782be73acdc6"/>
    <w:p>
      <w:pPr>
        <w:pStyle w:val="Heading3"/>
      </w:pPr>
      <w:r>
        <w:t xml:space="preserve">3.3 Milestone 3 — Full Options Market-Making Backtest (Week 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Identical replay → identical results. Non-reproducibility is an automatic −10.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attribution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Streams (spread, inventory, gamma, vega, hedging) sum to total P&amp;L within 1 bp.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Sharpe, max drawdown, Calmar with block-bootstrap CIs. The CI requirement is non-negotiable.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Greek-exposure tracking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Aggregated Greek time series plotted; exposures within configured limits.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Correctly integrates the Week-7 pricing library (via</w:t>
            </w:r>
            <w:r>
              <w:t xml:space="preserve"> </w:t>
            </w:r>
            <w:r>
              <w:rPr>
                <w:rStyle w:val="VerbatimChar"/>
              </w:rPr>
              <w:t xml:space="preserve">pybind11</w:t>
            </w:r>
            <w:r>
              <w:t xml:space="preserve">) with the Week-5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Hedging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Dynamic hedge correctly integrated; funding rate accounted for.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Drawdown forensic identifies specific positions, the environment, and a counterfactual.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≤ 20 pp.; includes the forensic; honest failure-mode discussion.</w:t>
            </w:r>
          </w:p>
        </w:tc>
      </w:tr>
    </w:tbl>
    <w:p>
      <w:pPr>
        <w:pStyle w:val="BodyText"/>
      </w:pPr>
      <w:r>
        <w:t xml:space="preserve">Common bugs to check: look-ahead in the volatility surface (−15 engine</w:t>
      </w:r>
      <w:r>
        <w:t xml:space="preserve"> </w:t>
      </w:r>
      <w:r>
        <w:t xml:space="preserve">quality), 100% fill assumption (−10), funding ignored (−5 hedging), Sharpe</w:t>
      </w:r>
      <w:r>
        <w:t xml:space="preserve"> </w:t>
      </w:r>
      <w:r>
        <w:t xml:space="preserve">without CI (−8 risk).</w:t>
      </w:r>
    </w:p>
    <w:bookmarkEnd w:id="33"/>
    <w:bookmarkStart w:id="34" w:name="X832f3646062ac2495b1fc897fd2a2801365e84a"/>
    <w:p>
      <w:pPr>
        <w:pStyle w:val="Heading3"/>
      </w:pPr>
      <w:r>
        <w:t xml:space="preserve">3.4 Final Report (25 pts) and Presentation (15 pts)</w:t>
      </w:r>
    </w:p>
    <w:p>
      <w:pPr>
        <w:pStyle w:val="FirstParagraph"/>
      </w:pPr>
      <w:r>
        <w:rPr>
          <w:b/>
          <w:bCs/>
        </w:rPr>
        <w:t xml:space="preserve">Report:</w:t>
      </w:r>
      <w:r>
        <w:t xml:space="preserve"> </w:t>
      </w:r>
      <w:r>
        <w:t xml:space="preserve">problem motivation (3), methodology (6), results with</w:t>
      </w:r>
      <w:r>
        <w:t xml:space="preserve"> </w:t>
      </w:r>
      <w:r>
        <w:t xml:space="preserve">uncertainty quantification (6), discussion (4), an explicit limitations</w:t>
      </w:r>
      <w:r>
        <w:t xml:space="preserve"> </w:t>
      </w:r>
      <w:r>
        <w:t xml:space="preserve">section (3), writing quality (3).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structure (3),</w:t>
      </w:r>
      <w:r>
        <w:t xml:space="preserve"> </w:t>
      </w:r>
      <w:r>
        <w:t xml:space="preserve">technical depth and Q&amp;A handling (4 + 2), visual aids (3), delivery (3).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art-iv.-administrative-reference"/>
    <w:p>
      <w:pPr>
        <w:pStyle w:val="Heading2"/>
      </w:pPr>
      <w:r>
        <w:t xml:space="preserve">Part IV. Administrative Reference</w:t>
      </w:r>
    </w:p>
    <w:bookmarkStart w:id="36" w:name="academic-integrity"/>
    <w:p>
      <w:pPr>
        <w:pStyle w:val="Heading3"/>
      </w:pPr>
      <w:r>
        <w:t xml:space="preserve">4.1 Academic Integrity</w:t>
      </w:r>
    </w:p>
    <w:p>
      <w:pPr>
        <w:pStyle w:val="FirstParagraph"/>
      </w:pPr>
      <w:r>
        <w:t xml:space="preserve">Follows the NC State Code of Student Conduct. Collaboration on problem sets</w:t>
      </w:r>
      <w:r>
        <w:t xml:space="preserve"> </w:t>
      </w:r>
      <w:r>
        <w:t xml:space="preserve">is encouraged but submissions must be each student’s own work (discussing</w:t>
      </w:r>
      <w:r>
        <w:t xml:space="preserve"> </w:t>
      </w:r>
      <w:r>
        <w:t xml:space="preserve">the approach is fine; copying code is not). Cite any external source,</w:t>
      </w:r>
      <w:r>
        <w:t xml:space="preserve"> </w:t>
      </w:r>
      <w:r>
        <w:t xml:space="preserve">including LLM-generated content. LLM assistance is allowed for writing</w:t>
      </w:r>
      <w:r>
        <w:t xml:space="preserve"> </w:t>
      </w:r>
      <w:r>
        <w:t xml:space="preserve">support (grammar, phrasing) but not for technical content generation;</w:t>
      </w:r>
      <w:r>
        <w:t xml:space="preserve"> </w:t>
      </w:r>
      <w:r>
        <w:t xml:space="preserve">disclose non-trivial use. ⚑ The mentor handles all integrity cases —</w:t>
      </w:r>
      <w:r>
        <w:t xml:space="preserve"> </w:t>
      </w:r>
      <w:r>
        <w:t xml:space="preserve">document specifics and escalate within 24 hours; do not confront the</w:t>
      </w:r>
      <w:r>
        <w:t xml:space="preserve"> </w:t>
      </w:r>
      <w:r>
        <w:t xml:space="preserve">student.</w:t>
      </w:r>
    </w:p>
    <w:bookmarkEnd w:id="36"/>
    <w:bookmarkStart w:id="37" w:name="late-work"/>
    <w:p>
      <w:pPr>
        <w:pStyle w:val="Heading3"/>
      </w:pPr>
      <w:r>
        <w:t xml:space="preserve">4.2 Late Work</w:t>
      </w:r>
    </w:p>
    <w:p>
      <w:pPr>
        <w:pStyle w:val="FirstParagraph"/>
      </w:pPr>
      <w:r>
        <w:t xml:space="preserve">Problem sets are due Sunday 11:59 pm Eastern; late until Tuesday 11:59 pm</w:t>
      </w:r>
      <w:r>
        <w:t xml:space="preserve"> </w:t>
      </w:r>
      <w:r>
        <w:t xml:space="preserve">with a 20% deduction; nothing accepted after. Milestones are due Friday</w:t>
      </w:r>
      <w:r>
        <w:t xml:space="preserve"> </w:t>
      </w:r>
      <w:r>
        <w:t xml:space="preserve">11:59 pm Eastern of the milestone week; no late milestones. Emergencies</w:t>
      </w:r>
      <w:r>
        <w:t xml:space="preserve"> </w:t>
      </w:r>
      <w:r>
        <w:t xml:space="preserve">(documented medical/family) are handled by the mentor only.</w:t>
      </w:r>
    </w:p>
    <w:bookmarkEnd w:id="37"/>
    <w:bookmarkStart w:id="38" w:name="accommodations"/>
    <w:p>
      <w:pPr>
        <w:pStyle w:val="Heading3"/>
      </w:pPr>
      <w:r>
        <w:t xml:space="preserve">4.3 Accommodations</w:t>
      </w:r>
    </w:p>
    <w:p>
      <w:pPr>
        <w:pStyle w:val="FirstParagraph"/>
      </w:pPr>
      <w:r>
        <w:t xml:space="preserve">Implement documented accommodations as filed with the NC State Disability</w:t>
      </w:r>
      <w:r>
        <w:t xml:space="preserve"> </w:t>
      </w:r>
      <w:r>
        <w:t xml:space="preserve">Resource Office; do not ask students to justify them. If unsure how to</w:t>
      </w:r>
      <w:r>
        <w:t xml:space="preserve"> </w:t>
      </w:r>
      <w:r>
        <w:t xml:space="preserve">implement one, ask the mentor.</w:t>
      </w:r>
    </w:p>
    <w:bookmarkEnd w:id="38"/>
    <w:bookmarkStart w:id="39" w:name="crisis-escalation"/>
    <w:p>
      <w:pPr>
        <w:pStyle w:val="Heading3"/>
      </w:pPr>
      <w:r>
        <w:t xml:space="preserve">4.4 Crisis Escalation ⚑</w:t>
      </w:r>
    </w:p>
    <w:p>
      <w:pPr>
        <w:pStyle w:val="FirstParagraph"/>
      </w:pPr>
      <w:r>
        <w:t xml:space="preserve">Escalate immediately (use the phone line, not Slack): suspected integrity</w:t>
      </w:r>
      <w:r>
        <w:t xml:space="preserve"> </w:t>
      </w:r>
      <w:r>
        <w:t xml:space="preserve">violation; student in acute distress; data-security incident (e.g., a</w:t>
      </w:r>
      <w:r>
        <w:t xml:space="preserve"> </w:t>
      </w:r>
      <w:r>
        <w:t xml:space="preserve">student exposes Coincall data publicly); hostile interaction. The mentor</w:t>
      </w:r>
      <w:r>
        <w:t xml:space="preserve"> </w:t>
      </w:r>
      <w:r>
        <w:t xml:space="preserve">directs next steps.</w:t>
      </w:r>
    </w:p>
    <w:bookmarkEnd w:id="39"/>
    <w:bookmarkStart w:id="40" w:name="environment-and-tooling"/>
    <w:p>
      <w:pPr>
        <w:pStyle w:val="Heading3"/>
      </w:pPr>
      <w:r>
        <w:t xml:space="preserve">4.5 Environment and Tooling</w:t>
      </w:r>
    </w:p>
    <w:p>
      <w:pPr>
        <w:pStyle w:val="FirstParagraph"/>
      </w:pPr>
      <w:r>
        <w:t xml:space="preserve">Each tutor receives Slack and LMS access, Coincall S3 credentials (under</w:t>
      </w:r>
      <w:r>
        <w:t xml:space="preserve"> </w:t>
      </w:r>
      <w:r>
        <w:t xml:space="preserve">NDA, plus reference-implementation credentials), a desk in SAS Hall, and a</w:t>
      </w:r>
      <w:r>
        <w:t xml:space="preserve"> </w:t>
      </w:r>
      <w:r>
        <w:t xml:space="preserve">laptop with the standard program environment pre-installed: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 3.11</w:t>
      </w:r>
      <w:r>
        <w:t xml:space="preserve">,</w:t>
      </w:r>
      <w:r>
        <w:t xml:space="preserve"> </w:t>
      </w:r>
      <w:r>
        <w:rPr>
          <w:b/>
          <w:bCs/>
        </w:rPr>
        <w:t xml:space="preserve">PyTorch</w:t>
      </w:r>
      <w:r>
        <w:t xml:space="preserve">, NumPy, SciPy, Pandas, PyArrow, and the</w:t>
      </w:r>
      <w:r>
        <w:t xml:space="preserve"> </w:t>
      </w:r>
      <w:r>
        <w:t xml:space="preserve">program’s own internal Python libraries.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C++17 toolchain</w:t>
      </w:r>
      <w:r>
        <w:t xml:space="preserve"> </w:t>
      </w:r>
      <w:r>
        <w:t xml:space="preserve">(clang or g++),</w:t>
      </w:r>
      <w:r>
        <w:t xml:space="preserve"> </w:t>
      </w:r>
      <w:r>
        <w:rPr>
          <w:b/>
          <w:bCs/>
        </w:rPr>
        <w:t xml:space="preserve">CMake</w:t>
      </w:r>
      <w:r>
        <w:t xml:space="preserve">,</w:t>
      </w:r>
      <w:r>
        <w:t xml:space="preserve"> </w:t>
      </w:r>
      <w:r>
        <w:rPr>
          <w:b/>
          <w:bCs/>
        </w:rPr>
        <w:t xml:space="preserve">Eigen</w:t>
      </w:r>
      <w:r>
        <w:t xml:space="preserve">, a C++</w:t>
      </w:r>
      <w:r>
        <w:t xml:space="preserve"> </w:t>
      </w:r>
      <w:r>
        <w:rPr>
          <w:b/>
          <w:bCs/>
        </w:rPr>
        <w:t xml:space="preserve">FFT</w:t>
      </w:r>
      <w:r>
        <w:t xml:space="preserve"> </w:t>
      </w:r>
      <w:r>
        <w:t xml:space="preserve">library (FFTW or pocketfft), and</w:t>
      </w:r>
      <w: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 </w:t>
      </w:r>
      <w:r>
        <w:t xml:space="preserve">— used in Week 7 to build</w:t>
      </w:r>
      <w:r>
        <w:t xml:space="preserve"> </w:t>
      </w:r>
      <w:r>
        <w:t xml:space="preserve">and import the fast-computation module from Python.</w:t>
      </w:r>
    </w:p>
    <w:p>
      <w:pPr>
        <w:pStyle w:val="Compact"/>
        <w:numPr>
          <w:ilvl w:val="0"/>
          <w:numId w:val="1003"/>
        </w:numPr>
      </w:pPr>
      <w:r>
        <w:t xml:space="preserve">Catch2 / GoogleTest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for the test suites.</w:t>
      </w:r>
    </w:p>
    <w:p>
      <w:pPr>
        <w:pStyle w:val="FirstParagraph"/>
      </w:pPr>
      <w:r>
        <w:t xml:space="preserve">First-week setup: complete the data-use agreement; verify Slack/LMS</w:t>
      </w:r>
      <w:r>
        <w:t xml:space="preserve"> </w:t>
      </w:r>
      <w:r>
        <w:t xml:space="preserve">access; build and import the Week-7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starter module end to end;</w:t>
      </w:r>
      <w:r>
        <w:t xml:space="preserve"> </w:t>
      </w:r>
      <w:r>
        <w:t xml:space="preserve">run the reference Milestone 1 implementation; attend the calibration</w:t>
      </w:r>
      <w:r>
        <w:t xml:space="preserve"> </w:t>
      </w:r>
      <w:r>
        <w:t xml:space="preserve">session.</w:t>
      </w:r>
    </w:p>
    <w:bookmarkEnd w:id="40"/>
    <w:bookmarkStart w:id="41" w:name="compensation-hours-and-contacts"/>
    <w:p>
      <w:pPr>
        <w:pStyle w:val="Heading3"/>
      </w:pPr>
      <w:r>
        <w:t xml:space="preserve">4.6 Compensation, Hours, and Contacts</w:t>
      </w:r>
    </w:p>
    <w:p>
      <w:pPr>
        <w:pStyle w:val="FirstParagraph"/>
      </w:pPr>
      <w:r>
        <w:t xml:space="preserve">Tutors are compensated as standard graduate TAs under the NC State</w:t>
      </w:r>
      <w:r>
        <w:t xml:space="preserve"> </w:t>
      </w:r>
      <w:r>
        <w:t xml:space="preserve">Mathematics pay scale; hours are tracked through the university system.</w:t>
      </w:r>
      <w:r>
        <w:t xml:space="preserve"> </w:t>
      </w:r>
      <w:r>
        <w:t xml:space="preserve">The contact list (mentor, coordinator, departmental administrator, IT,</w:t>
      </w:r>
      <w:r>
        <w:t xml:space="preserve"> </w:t>
      </w:r>
      <w:r>
        <w:t xml:space="preserve">emergency) is distributed at orientation — keep it accessible.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 Handbook</dc:title>
  <dc:creator>North Carolina State University · Financial Mathematics</dc:creator>
  <cp:keywords/>
  <dcterms:created xsi:type="dcterms:W3CDTF">2026-06-10T08:41:08Z</dcterms:created>
  <dcterms:modified xsi:type="dcterms:W3CDTF">2026-06-10T08:41:08Z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Summer 2026</vt:lpwstr>
  </property>
  <property fmtid="{D5CDD505-2E9C-101B-9397-08002B2CF9AE}" pid="3" name="subtitle">
    <vt:lpwstr>Optimal Market Making for Cryptocurrency Options — The Avellaneda–Stoikov Framework and its Extension to Options</vt:lpwstr>
  </property>
</Properties>
</file>