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8C"/>
          <w:sz w:val="44"/>
        </w:rPr>
        <w:t>Stage 1 - Problem Definition &amp; Use Case</w:t>
      </w:r>
    </w:p>
    <w:p>
      <w:r>
        <w:rPr>
          <w:color w:val="52514E"/>
          <w:sz w:val="24"/>
        </w:rPr>
        <w:t>RoadEye - Traffic Sign Recognition Using HOG Features and SVM</w:t>
      </w:r>
    </w:p>
    <w:p>
      <w:pPr>
        <w:spacing w:after="0"/>
      </w:pPr>
      <w:r>
        <w:rPr>
          <w:color w:val="52514E"/>
          <w:sz w:val="19"/>
        </w:rPr>
        <w:t>Machine Learning (3CS101CC24) - Nirma University, Institute of Technology - B.Tech CSE, Semester 5</w:t>
      </w:r>
    </w:p>
    <w:p>
      <w:pPr>
        <w:spacing w:after="0"/>
      </w:pPr>
      <w:r>
        <w:rPr>
          <w:color w:val="52514E"/>
          <w:sz w:val="19"/>
        </w:rPr>
        <w:t>Student: [name / roll number - add before submission]</w:t>
      </w:r>
    </w:p>
    <w:p>
      <w:pPr>
        <w:spacing w:after="0"/>
      </w:pPr>
      <w:r>
        <w:rPr>
          <w:color w:val="52514E"/>
          <w:sz w:val="19"/>
        </w:rPr>
        <w:t>Run scope: full_dataset   |   Generated: 2026-10-10</w:t>
      </w:r>
    </w:p>
    <w:p>
      <w:pPr>
        <w:pStyle w:val="Heading2"/>
      </w:pPr>
      <w:r>
        <w:t>Project title</w:t>
      </w:r>
    </w:p>
    <w:p>
      <w:r>
        <w:rPr>
          <w:b w:val="0"/>
          <w:i w:val="0"/>
        </w:rPr>
        <w:t>RoadEye - Traffic Sign Recognition Using HOG Features and SVM</w:t>
      </w:r>
    </w:p>
    <w:p>
      <w:pPr>
        <w:pStyle w:val="Heading2"/>
      </w:pPr>
      <w:r>
        <w:t>Background</w:t>
      </w:r>
    </w:p>
    <w:p>
      <w:r>
        <w:rPr>
          <w:b w:val="0"/>
          <w:i w:val="0"/>
        </w:rPr>
        <w:t>Traffic signs encode the rules of the road in a compact visual language of shape, colour and pictogram. Driver-assistance systems (ADAS), road-asset inventories and navigation-map updates all need software that can recognise which sign is shown in an image. Modern solutions often use deep neural networks; this project deliberately studies the *classical machine-learning* route - hand-engineered features plus a conventional classifier - because it is transparent, cheap to train and lets us measure the contribution of each design decision.</w:t>
      </w:r>
    </w:p>
    <w:p>
      <w:pPr>
        <w:pStyle w:val="Heading2"/>
      </w:pPr>
      <w:r>
        <w:t>Problem statement</w:t>
      </w:r>
    </w:p>
    <w:p>
      <w:r>
        <w:rPr>
          <w:b w:val="0"/>
          <w:i w:val="0"/>
        </w:rPr>
        <w:t>Given a cropped colour photograph of a single traffic sign, predict which of the 43 GTSRB sign categories it belongs to, and determine experimentally (a) whether HOG feature engineering improves on raw pixels and (b) which syllabus classifier (KNN, Decision Tree, SVM) works best on the same HOG features.</w:t>
      </w:r>
    </w:p>
    <w:p>
      <w:pPr>
        <w:pStyle w:val="Heading2"/>
      </w:pPr>
      <w:r>
        <w:t>Motivation</w:t>
      </w:r>
    </w:p>
    <w:p>
      <w:pPr>
        <w:pStyle w:val="ListBullet"/>
        <w:spacing w:after="40"/>
      </w:pPr>
      <w:r>
        <w:t>Road-safety relevance: sign misreading is a known failure source for driver-assistance functions.</w:t>
      </w:r>
    </w:p>
    <w:p>
      <w:pPr>
        <w:pStyle w:val="ListBullet"/>
        <w:spacing w:after="40"/>
      </w:pPr>
      <w:r>
        <w:t>Educational value: the project exercises the full ML pipeline - data audit, leakage-safe splitting, feature engineering, baseline, model comparison, tuning, evaluation and deployment demo.</w:t>
      </w:r>
    </w:p>
    <w:p>
      <w:pPr>
        <w:pStyle w:val="ListBullet"/>
        <w:spacing w:after="40"/>
      </w:pPr>
      <w:r>
        <w:t>Low-resource: classical models train in minutes on a laptop CPU and are easy to explain and reproduce.</w:t>
      </w:r>
    </w:p>
    <w:p>
      <w:pPr>
        <w:pStyle w:val="Heading2"/>
      </w:pPr>
      <w:r>
        <w:t>Real-world use case</w:t>
      </w:r>
    </w:p>
    <w:p>
      <w:r>
        <w:rPr>
          <w:b w:val="0"/>
          <w:i w:val="0"/>
        </w:rPr>
        <w:t>A sign-recognition module that receives an already-localised sign crop (from a detector or from a map-survey tool) and returns the sign class, e.g. to cross-check a speed-limit database or to flag a missing/damaged sign in a road-asset survey. A Streamlit demo shows this single-image classification.</w:t>
      </w:r>
    </w:p>
    <w:p>
      <w:pPr>
        <w:pStyle w:val="Heading2"/>
      </w:pPr>
      <w:r>
        <w:t>Stakeholders</w:t>
      </w:r>
    </w:p>
    <w:p>
      <w:pPr>
        <w:pStyle w:val="ListBullet"/>
        <w:spacing w:after="40"/>
      </w:pPr>
      <w:r>
        <w:t>Road users and drivers (safety benefit)</w:t>
      </w:r>
    </w:p>
    <w:p>
      <w:pPr>
        <w:pStyle w:val="ListBullet"/>
        <w:spacing w:after="40"/>
      </w:pPr>
      <w:r>
        <w:t>Road authorities / asset managers (sign inventory and maintenance)</w:t>
      </w:r>
    </w:p>
    <w:p>
      <w:pPr>
        <w:pStyle w:val="ListBullet"/>
        <w:spacing w:after="40"/>
      </w:pPr>
      <w:r>
        <w:t>Driver-assistance and map-data developers (recognition component)</w:t>
      </w:r>
    </w:p>
    <w:p>
      <w:pPr>
        <w:pStyle w:val="ListBullet"/>
        <w:spacing w:after="40"/>
      </w:pPr>
      <w:r>
        <w:t>Course instructors and the student (assessment and learning)</w:t>
      </w:r>
    </w:p>
    <w:p>
      <w:pPr>
        <w:pStyle w:val="Heading2"/>
      </w:pPr>
      <w:r>
        <w:t>Machine-learning formulation</w:t>
      </w:r>
    </w:p>
    <w:p>
      <w:pPr>
        <w:keepNext/>
        <w:spacing w:after="40"/>
      </w:pPr>
      <w:r>
        <w:rPr>
          <w:b/>
          <w:sz w:val="19"/>
        </w:rPr>
        <w:t>ML formulation</w:t>
      </w:r>
    </w:p>
    <w:tbl>
      <w:tblPr>
        <w:tblStyle w:val="TableGrid"/>
        <w:tblW w:type="auto" w:w="0"/>
        <w:jc w:val="center"/>
        <w:tblLayout w:type="fixed"/>
        <w:tblLook w:firstColumn="1" w:firstRow="1" w:lastColumn="0" w:lastRow="0" w:noHBand="0" w:noVBand="1" w:val="04A0"/>
      </w:tblPr>
      <w:tblGrid>
        <w:gridCol w:w="4706"/>
        <w:gridCol w:w="4706"/>
      </w:tblGrid>
      <w:tr>
        <w:tc>
          <w:tcPr>
            <w:tcW w:type="dxa" w:w="4706"/>
            <w:shd w:val="clear" w:color="auto" w:fill="1F4E8C"/>
          </w:tcPr>
          <w:p>
            <w:r>
              <w:rPr>
                <w:b/>
                <w:color w:val="FFFFFF"/>
                <w:sz w:val="18"/>
              </w:rPr>
              <w:t>Item</w:t>
            </w:r>
          </w:p>
        </w:tc>
        <w:tc>
          <w:tcPr>
            <w:tcW w:type="dxa" w:w="4706"/>
            <w:shd w:val="clear" w:color="auto" w:fill="1F4E8C"/>
          </w:tcPr>
          <w:p>
            <w:r>
              <w:rPr>
                <w:b/>
                <w:color w:val="FFFFFF"/>
                <w:sz w:val="18"/>
              </w:rPr>
              <w:t>Definition</w:t>
            </w:r>
          </w:p>
        </w:tc>
      </w:tr>
      <w:tr>
        <w:tc>
          <w:tcPr>
            <w:tcW w:type="dxa" w:w="4706"/>
          </w:tcPr>
          <w:p>
            <w:r>
              <w:rPr>
                <w:sz w:val="18"/>
              </w:rPr>
              <w:t>Task</w:t>
            </w:r>
          </w:p>
        </w:tc>
        <w:tc>
          <w:tcPr>
            <w:tcW w:type="dxa" w:w="4706"/>
          </w:tcPr>
          <w:p>
            <w:r>
              <w:rPr>
                <w:sz w:val="18"/>
              </w:rPr>
              <w:t>Supervised multiclass image classification</w:t>
            </w:r>
          </w:p>
        </w:tc>
      </w:tr>
      <w:tr>
        <w:tc>
          <w:tcPr>
            <w:tcW w:type="dxa" w:w="4706"/>
            <w:shd w:val="clear" w:color="auto" w:fill="F3F6FA"/>
          </w:tcPr>
          <w:p>
            <w:r>
              <w:rPr>
                <w:sz w:val="18"/>
              </w:rPr>
              <w:t>Input (x)</w:t>
            </w:r>
          </w:p>
        </w:tc>
        <w:tc>
          <w:tcPr>
            <w:tcW w:type="dxa" w:w="4706"/>
            <w:shd w:val="clear" w:color="auto" w:fill="F3F6FA"/>
          </w:tcPr>
          <w:p>
            <w:r>
              <w:rPr>
                <w:sz w:val="18"/>
              </w:rPr>
              <w:t>RGB image of one sign -&gt; grayscale 32x32 -&gt; HOG feature vector</w:t>
            </w:r>
          </w:p>
        </w:tc>
      </w:tr>
      <w:tr>
        <w:tc>
          <w:tcPr>
            <w:tcW w:type="dxa" w:w="4706"/>
          </w:tcPr>
          <w:p>
            <w:r>
              <w:rPr>
                <w:sz w:val="18"/>
              </w:rPr>
              <w:t>Output (y)</w:t>
            </w:r>
          </w:p>
        </w:tc>
        <w:tc>
          <w:tcPr>
            <w:tcW w:type="dxa" w:w="4706"/>
          </w:tcPr>
          <w:p>
            <w:r>
              <w:rPr>
                <w:sz w:val="18"/>
              </w:rPr>
              <w:t>class id in {0, ..., 42} (sign category)</w:t>
            </w:r>
          </w:p>
        </w:tc>
      </w:tr>
      <w:tr>
        <w:tc>
          <w:tcPr>
            <w:tcW w:type="dxa" w:w="4706"/>
            <w:shd w:val="clear" w:color="auto" w:fill="F3F6FA"/>
          </w:tcPr>
          <w:p>
            <w:r>
              <w:rPr>
                <w:sz w:val="18"/>
              </w:rPr>
              <w:t>Learning problem</w:t>
            </w:r>
          </w:p>
        </w:tc>
        <w:tc>
          <w:tcPr>
            <w:tcW w:type="dxa" w:w="4706"/>
            <w:shd w:val="clear" w:color="auto" w:fill="F3F6FA"/>
          </w:tcPr>
          <w:p>
            <w:r>
              <w:rPr>
                <w:sz w:val="18"/>
              </w:rPr>
              <w:t>learn f(x) = y from labelled examples; generalise to unseen physical signs</w:t>
            </w:r>
          </w:p>
        </w:tc>
      </w:tr>
      <w:tr>
        <w:tc>
          <w:tcPr>
            <w:tcW w:type="dxa" w:w="4706"/>
          </w:tcPr>
          <w:p>
            <w:r>
              <w:rPr>
                <w:sz w:val="18"/>
              </w:rPr>
              <w:t>Primary metric</w:t>
            </w:r>
          </w:p>
        </w:tc>
        <w:tc>
          <w:tcPr>
            <w:tcW w:type="dxa" w:w="4706"/>
          </w:tcPr>
          <w:p>
            <w:r>
              <w:rPr>
                <w:sz w:val="18"/>
              </w:rPr>
              <w:t>macro-F1 (also accuracy, macro-precision, macro-recall, confusion matrix)</w:t>
            </w:r>
          </w:p>
        </w:tc>
      </w:tr>
    </w:tbl>
    <w:p>
      <w:pPr>
        <w:spacing w:after="40"/>
      </w:pPr>
    </w:p>
    <w:p>
      <w:pPr>
        <w:pStyle w:val="Heading2"/>
      </w:pPr>
      <w:r>
        <w:t>Constraints</w:t>
      </w:r>
    </w:p>
    <w:p>
      <w:pPr>
        <w:pStyle w:val="ListBullet"/>
        <w:spacing w:after="40"/>
      </w:pPr>
      <w:r>
        <w:t>Syllabus: classical models only (KNN, Decision Tree, SVM); deep learning appears only as future scope.</w:t>
      </w:r>
    </w:p>
    <w:p>
      <w:pPr>
        <w:pStyle w:val="ListBullet"/>
        <w:spacing w:after="40"/>
      </w:pPr>
      <w:r>
        <w:t>One-week scope and laptop-class compute (no GPU).</w:t>
      </w:r>
    </w:p>
    <w:p>
      <w:pPr>
        <w:pStyle w:val="ListBullet"/>
        <w:spacing w:after="40"/>
      </w:pPr>
      <w:r>
        <w:t>No data leakage; test set used exactly once; all results measured by running the code.</w:t>
      </w:r>
    </w:p>
    <w:p>
      <w:pPr>
        <w:pStyle w:val="Heading2"/>
      </w:pPr>
      <w:r>
        <w:t>Scope and out-of-scope</w:t>
      </w:r>
    </w:p>
    <w:p>
      <w:pPr>
        <w:pStyle w:val="ListBullet"/>
        <w:spacing w:after="40"/>
      </w:pPr>
      <w:r>
        <w:t>In scope: classification of cropped sign images; HOG vs raw pixels; KNN vs Decision Tree vs SVM; GridSearchCV; Streamlit demo.</w:t>
      </w:r>
    </w:p>
    <w:p>
      <w:pPr>
        <w:pStyle w:val="ListBullet"/>
        <w:spacing w:after="40"/>
      </w:pPr>
      <w:r>
        <w:t>Out of scope: sign detection/localisation, video, real-time operation, CNN/YOLO models, deployment to vehicles or the cloud, safety certification.</w:t>
      </w:r>
    </w:p>
    <w:p>
      <w:pPr>
        <w:pStyle w:val="Heading2"/>
      </w:pPr>
      <w:r>
        <w:t>Expected impact</w:t>
      </w:r>
    </w:p>
    <w:p>
      <w:r>
        <w:rPr>
          <w:b w:val="0"/>
          <w:i w:val="0"/>
        </w:rPr>
        <w:t>A reproducible, fully documented reference implementation showing how far classical features can go on a standard benchmark, with an honest account of its errors and limitations.</w:t>
      </w:r>
    </w:p>
    <w:p>
      <w:pPr>
        <w:pStyle w:val="Heading2"/>
      </w:pPr>
      <w:r>
        <w:t>Research questions</w:t>
      </w:r>
    </w:p>
    <w:p>
      <w:pPr>
        <w:pStyle w:val="ListBullet"/>
        <w:spacing w:after="40"/>
      </w:pPr>
      <w:r>
        <w:t>RQ1: Does HOG feature engineering improve traffic-sign classification compared with raw pixels (Raw Pixels + SVM vs HOG + SVM)?</w:t>
      </w:r>
    </w:p>
    <w:p>
      <w:pPr>
        <w:pStyle w:val="ListBullet"/>
        <w:spacing w:after="40"/>
      </w:pPr>
      <w:r>
        <w:t>RQ2: Which of KNN, Decision Tree and SVM performs best on the same HOG features? (Determined experimentally - not assumed.)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RoadEye - ML Innovative Assignment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