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3 - Data Preparation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Raw data structure</w:t>
      </w:r>
    </w:p>
    <w:p>
      <w:r>
        <w:rPr>
          <w:b w:val="0"/>
          <w:i w:val="0"/>
        </w:rPr>
        <w:t>Images are organised as one folder per class (00000 ... 00042); in the official archive each folder also holds a semicolon-separated GT-xxxxx.csv. File names encode the physical-sign track and frame (&lt;track&gt;_&lt;frame&gt;.ppm).</w:t>
      </w:r>
    </w:p>
    <w:p>
      <w:pPr>
        <w:pStyle w:val="Heading2"/>
      </w:pPr>
      <w:r>
        <w:t>Cleaning steps</w:t>
      </w:r>
    </w:p>
    <w:p>
      <w:pPr>
        <w:pStyle w:val="ListBullet"/>
        <w:spacing w:after="40"/>
      </w:pPr>
      <w:r>
        <w:t>Corrupted files: every file is fully decoded; unreadable files are logged and removed.</w:t>
      </w:r>
    </w:p>
    <w:p>
      <w:pPr>
        <w:pStyle w:val="ListBullet"/>
        <w:spacing w:after="40"/>
      </w:pPr>
      <w:r>
        <w:t>Label validation: the class label is the folder name; the official CSV ClassId is an independent cross-check; disagreements are removed.</w:t>
      </w:r>
    </w:p>
    <w:p>
      <w:pPr>
        <w:pStyle w:val="ListBullet"/>
        <w:spacing w:after="40"/>
      </w:pPr>
      <w:r>
        <w:t>Duplicate checking: MD5 hash of the file bytes. Identical bytes with different labels are removed entirely; identical bytes with the same label keep one copy. Near-duplicates (consecutive frames of one sign) are genuine samples and are kept - they are handled by the group-aware split.</w:t>
      </w:r>
    </w:p>
    <w:p>
      <w:pPr>
        <w:pStyle w:val="ListBullet"/>
        <w:spacing w:after="40"/>
      </w:pPr>
      <w:r>
        <w:t>Image resizing and organisation: images are resized to 32x32 in Stage 4 and cached in data/processed/ as arrays aligned to split.csv.</w:t>
      </w:r>
    </w:p>
    <w:p>
      <w:pPr>
        <w:pStyle w:val="Heading2"/>
      </w:pPr>
      <w:r>
        <w:t>Before / after sample counts (measured)</w:t>
      </w:r>
    </w:p>
    <w:p>
      <w:pPr>
        <w:keepNext/>
        <w:spacing w:after="40"/>
      </w:pPr>
      <w:r>
        <w:rPr>
          <w:b/>
          <w:sz w:val="19"/>
        </w:rPr>
        <w:t>Data cleaning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Files indexed (before)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51,839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Removed: unreadable / corrupt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Removed: folder label disagrees with official CSV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Removed: byte-identical files with conflicting labels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Removed: redundant exact duplicates (first copy kept)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Samples after cleaning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51,839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Data scope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full dataset</w:t>
            </w:r>
          </w:p>
        </w:tc>
      </w:tr>
    </w:tbl>
    <w:p>
      <w:pPr>
        <w:spacing w:after="40"/>
      </w:pPr>
    </w:p>
    <w:p>
      <w:pPr>
        <w:pStyle w:val="Heading2"/>
      </w:pPr>
      <w:r>
        <w:t>Train / validation / test split</w:t>
      </w:r>
    </w:p>
    <w:p>
      <w:r>
        <w:rPr>
          <w:b w:val="0"/>
          <w:i w:val="0"/>
        </w:rPr>
        <w:t>Test set: official_gtsrb_test_set. It is separated first and not touched again until the final evaluation. The remaining training pool is split into training and validation (~80/20) with StratifiedGroupKFold (random seed 42); the group is the physical sign (class + track). Splitting by sign prevents near-identical frames from appearing in both training and validation, which would inflate every score. Because folds contain whole signs, the fractions are approximate.</w:t>
      </w:r>
    </w:p>
    <w:p>
      <w:pPr>
        <w:keepNext/>
        <w:spacing w:after="40"/>
      </w:pPr>
      <w:r>
        <w:rPr>
          <w:b/>
          <w:sz w:val="19"/>
        </w:rPr>
        <w:t>Split sizes (measured)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Subset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Classes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Physical signs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31,379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60.5%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1,046</w:t>
            </w:r>
          </w:p>
        </w:tc>
      </w:tr>
      <w:tr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7,830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261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12,630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24.4%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12,630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Leakage check (no shared file path, physical sign or identical image bytes between subsets): True.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