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8C"/>
          <w:sz w:val="44"/>
        </w:rPr>
        <w:t>Stage 4 - Data Preprocessing</w:t>
      </w:r>
    </w:p>
    <w:p>
      <w:r>
        <w:rPr>
          <w:color w:val="52514E"/>
          <w:sz w:val="24"/>
        </w:rPr>
        <w:t>RoadEye - Traffic Sign Recognition Using HOG Features and SVM</w:t>
      </w:r>
    </w:p>
    <w:p>
      <w:pPr>
        <w:spacing w:after="0"/>
      </w:pPr>
      <w:r>
        <w:rPr>
          <w:color w:val="52514E"/>
          <w:sz w:val="19"/>
        </w:rPr>
        <w:t>Machine Learning (3CS101CC24) - Nirma University, Institute of Technology - B.Tech CSE, Semester 5</w:t>
      </w:r>
    </w:p>
    <w:p>
      <w:pPr>
        <w:spacing w:after="0"/>
      </w:pPr>
      <w:r>
        <w:rPr>
          <w:color w:val="52514E"/>
          <w:sz w:val="19"/>
        </w:rPr>
        <w:t>Student: [name / roll number - add before submission]</w:t>
      </w:r>
    </w:p>
    <w:p>
      <w:pPr>
        <w:spacing w:after="0"/>
      </w:pPr>
      <w:r>
        <w:rPr>
          <w:color w:val="52514E"/>
          <w:sz w:val="19"/>
        </w:rPr>
        <w:t>Run scope: full_dataset   |   Generated: 2026-10-10</w:t>
      </w:r>
    </w:p>
    <w:p>
      <w:pPr>
        <w:pStyle w:val="Heading2"/>
      </w:pPr>
      <w:r>
        <w:t>Preprocessing pipeline</w:t>
      </w:r>
    </w:p>
    <w:p>
      <w:pPr>
        <w:keepNext/>
        <w:spacing w:after="40"/>
      </w:pPr>
      <w:r>
        <w:rPr>
          <w:b/>
          <w:sz w:val="19"/>
        </w:rPr>
        <w:t>Preprocessing steps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3137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Why it is needed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ROI crop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crop to the sign's region of interest given in the official CSV (removes the ~10% border)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keeps the sign, drops background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Grayscale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RGB -&gt; 1 channel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HOG relies on gradients; removes colour variation; fewer values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Resize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32x32 with INTER_AREA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fixed-length feature vector; INTER_AREA is the correct filter for shrinking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Pixel normalisation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uint8 -&gt; float32 in [0, 1]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numerical range; no information is learned from data</w:t>
            </w:r>
          </w:p>
        </w:tc>
      </w:tr>
      <w:tr>
        <w:tc>
          <w:tcPr>
            <w:tcW w:type="dxa" w:w="3137"/>
          </w:tcPr>
          <w:p>
            <w:r>
              <w:rPr>
                <w:sz w:val="18"/>
              </w:rPr>
              <w:t>HOG extraction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9 orientations, 4x4 pixels per cell, 2x2 cells per block, L2-Hys block normalisation</w:t>
            </w:r>
          </w:p>
        </w:tc>
        <w:tc>
          <w:tcPr>
            <w:tcW w:type="dxa" w:w="3137"/>
          </w:tcPr>
          <w:p>
            <w:r>
              <w:rPr>
                <w:sz w:val="18"/>
              </w:rPr>
              <w:t>edge-orientation descriptor robust to illumination</w:t>
            </w:r>
          </w:p>
        </w:tc>
      </w:tr>
      <w:tr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Feature scaling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StandardScaler fitted on TRAIN only</w:t>
            </w:r>
          </w:p>
        </w:tc>
        <w:tc>
          <w:tcPr>
            <w:tcW w:type="dxa" w:w="3137"/>
            <w:shd w:val="clear" w:color="auto" w:fill="F3F6FA"/>
          </w:tcPr>
          <w:p>
            <w:r>
              <w:rPr>
                <w:sz w:val="18"/>
              </w:rPr>
              <w:t>SVM and KNN are scale sensitive; leakage-free</w:t>
            </w:r>
          </w:p>
        </w:tc>
      </w:tr>
    </w:tbl>
    <w:p>
      <w:pPr>
        <w:spacing w:after="40"/>
      </w:pPr>
    </w:p>
    <w:p>
      <w:pPr>
        <w:pStyle w:val="Heading2"/>
      </w:pPr>
      <w:r>
        <w:t>Missing values, outliers, encoding</w:t>
      </w:r>
    </w:p>
    <w:p>
      <w:pPr>
        <w:pStyle w:val="ListBullet"/>
        <w:spacing w:after="40"/>
      </w:pPr>
      <w:r>
        <w:t>Missing values: image data has no missing cells; unreadable files are the equivalent and are removed (Stage 3).</w:t>
      </w:r>
    </w:p>
    <w:p>
      <w:pPr>
        <w:pStyle w:val="ListBullet"/>
        <w:spacing w:after="40"/>
      </w:pPr>
      <w:r>
        <w:t>Outliers/anomalies: very small, dark or low-contrast images are quantified in EDA; they are real signs, so they are kept (removing them would bias the test set towards easy images).</w:t>
      </w:r>
    </w:p>
    <w:p>
      <w:pPr>
        <w:pStyle w:val="ListBullet"/>
        <w:spacing w:after="40"/>
      </w:pPr>
      <w:r>
        <w:t>Encoding: the target is already an integer class id (0-42); no categorical encoding of features is needed.</w:t>
      </w:r>
    </w:p>
    <w:p>
      <w:pPr>
        <w:pStyle w:val="Heading2"/>
      </w:pPr>
      <w:r>
        <w:t>Measured effect</w:t>
      </w:r>
    </w:p>
    <w:p>
      <w:pPr>
        <w:keepNext/>
        <w:spacing w:after="40"/>
      </w:pPr>
      <w:r>
        <w:rPr>
          <w:b/>
          <w:sz w:val="19"/>
        </w:rPr>
        <w:t>Preprocessing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706"/>
            <w:shd w:val="clear" w:color="auto" w:fill="1F4E8C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Samples after cleaning + preprocessing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51,839</w:t>
            </w:r>
          </w:p>
        </w:tc>
      </w:tr>
      <w:tr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Raw-pixel features</w:t>
            </w:r>
          </w:p>
        </w:tc>
        <w:tc>
          <w:tcPr>
            <w:tcW w:type="dxa" w:w="4706"/>
            <w:shd w:val="clear" w:color="auto" w:fill="F3F6FA"/>
          </w:tcPr>
          <w:p>
            <w:r>
              <w:rPr>
                <w:sz w:val="18"/>
              </w:rPr>
              <w:t>1,024</w:t>
            </w:r>
          </w:p>
        </w:tc>
      </w:tr>
      <w:tr>
        <w:tc>
          <w:tcPr>
            <w:tcW w:type="dxa" w:w="4706"/>
          </w:tcPr>
          <w:p>
            <w:r>
              <w:rPr>
                <w:sz w:val="18"/>
              </w:rPr>
              <w:t>HOG features</w:t>
            </w:r>
          </w:p>
        </w:tc>
        <w:tc>
          <w:tcPr>
            <w:tcW w:type="dxa" w:w="4706"/>
          </w:tcPr>
          <w:p>
            <w:r>
              <w:rPr>
                <w:sz w:val="18"/>
              </w:rPr>
              <w:t>1,764</w:t>
            </w:r>
          </w:p>
        </w:tc>
      </w:tr>
    </w:tbl>
    <w:p>
      <w:pPr>
        <w:spacing w:after="40"/>
      </w:pPr>
    </w:p>
    <w:p>
      <w:pPr>
        <w:pStyle w:val="Heading2"/>
      </w:pPr>
      <w:r>
        <w:t>Data-leakage prevention</w:t>
      </w:r>
    </w:p>
    <w:p>
      <w:pPr>
        <w:pStyle w:val="ListBullet"/>
        <w:spacing w:after="40"/>
      </w:pPr>
      <w:r>
        <w:t>Split first, fit afterwards: scaler, class-weight decision, models and GridSearchCV see the training split only.</w:t>
      </w:r>
    </w:p>
    <w:p>
      <w:pPr>
        <w:pStyle w:val="ListBullet"/>
        <w:spacing w:after="40"/>
      </w:pPr>
      <w:r>
        <w:t>Inside GridSearchCV the scaler is part of the pipeline, so it is re-fitted on each fold's training part.</w:t>
      </w:r>
    </w:p>
    <w:p>
      <w:pPr>
        <w:pStyle w:val="ListBullet"/>
        <w:spacing w:after="40"/>
      </w:pPr>
      <w:r>
        <w:t>Preprocessing steps that learn nothing from data (grayscale, resize, /255, HOG) are applied identically to all subsets.</w:t>
      </w:r>
    </w:p>
    <w:p>
      <w:pPr>
        <w:pStyle w:val="ListBullet"/>
        <w:spacing w:after="40"/>
      </w:pPr>
      <w:r>
        <w:t>No feature selection or balancing used validation/test information; the test split is evaluated once (audit log in results/logs/).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514E"/>
        <w:sz w:val="16"/>
      </w:rPr>
      <w:t xml:space="preserve">RoadEye - ML Innovative Assignment   |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8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