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7 - Feature Engineering / Selection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Representations compared</w:t>
      </w:r>
    </w:p>
    <w:p>
      <w:pPr>
        <w:keepNext/>
        <w:spacing w:after="40"/>
      </w:pPr>
      <w:r>
        <w:rPr>
          <w:b/>
          <w:sz w:val="19"/>
        </w:rPr>
        <w:t>Feature representations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Raw pixels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flattened normalised 32x32 grayscale image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1,024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HOG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9 orientations, 4x4 pixels per cell, 2x2 cells per block, L2-Hys block normalisation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1,764</w:t>
            </w:r>
          </w:p>
        </w:tc>
      </w:tr>
    </w:tbl>
    <w:p>
      <w:pPr>
        <w:spacing w:after="40"/>
      </w:pPr>
    </w:p>
    <w:p>
      <w:pPr>
        <w:pStyle w:val="Heading2"/>
      </w:pPr>
      <w:r>
        <w:t>How HOG works</w:t>
      </w:r>
    </w:p>
    <w:p>
      <w:pPr>
        <w:pStyle w:val="ListBullet"/>
        <w:spacing w:after="40"/>
      </w:pPr>
      <w:r>
        <w:t>Compute image gradients (magnitude and direction) at every pixel.</w:t>
      </w:r>
    </w:p>
    <w:p>
      <w:pPr>
        <w:pStyle w:val="ListBullet"/>
        <w:spacing w:after="40"/>
      </w:pPr>
      <w:r>
        <w:t>Split the image into cells; per cell build a histogram of gradient directions weighted by magnitude.</w:t>
      </w:r>
    </w:p>
    <w:p>
      <w:pPr>
        <w:pStyle w:val="ListBullet"/>
        <w:spacing w:after="40"/>
      </w:pPr>
      <w:r>
        <w:t>Group cells into overlapping blocks and normalise each block (L2-Hys) to reduce sensitivity to local contrast/brightness.</w:t>
      </w:r>
    </w:p>
    <w:p>
      <w:pPr>
        <w:pStyle w:val="ListBullet"/>
        <w:spacing w:after="40"/>
      </w:pPr>
      <w:r>
        <w:t>Concatenate all block vectors into one feature vector.</w:t>
      </w:r>
    </w:p>
    <w:p>
      <w:pPr>
        <w:pStyle w:val="Heading2"/>
      </w:pPr>
      <w:r>
        <w:t>Why HOG suits traffic signs</w:t>
      </w:r>
    </w:p>
    <w:p>
      <w:pPr>
        <w:pStyle w:val="ListBullet"/>
        <w:spacing w:after="40"/>
      </w:pPr>
      <w:r>
        <w:t>Signs are characterised by outlines (circle, triangle, octagon) and inner pictograms - both are edge structures that HOG encodes.</w:t>
      </w:r>
    </w:p>
    <w:p>
      <w:pPr>
        <w:pStyle w:val="ListBullet"/>
        <w:spacing w:after="40"/>
      </w:pPr>
      <w:r>
        <w:t>Block normalisation reduces the effect of illumination changes, a major variation source in GTSRB.</w:t>
      </w:r>
    </w:p>
    <w:p>
      <w:pPr>
        <w:pStyle w:val="ListBullet"/>
        <w:spacing w:after="40"/>
      </w:pPr>
      <w:r>
        <w:t>It is compact and fast, and needs no training (unlike learned CNN features) - appropriate for a classical-ML syllabus.</w:t>
      </w:r>
    </w:p>
    <w:p>
      <w:pPr>
        <w:pStyle w:val="ListBullet"/>
        <w:spacing w:after="40"/>
      </w:pPr>
      <w:r>
        <w:t>Limitation: HOG is not rotation or scale invariant and loses colour; at small image sizes fine digits are only a few pixels wide.</w:t>
      </w:r>
    </w:p>
    <w:p>
      <w:pPr>
        <w:pStyle w:val="Heading2"/>
      </w:pPr>
      <w:r>
        <w:t>HOG parameters</w:t>
      </w:r>
    </w:p>
    <w:p>
      <w:pPr>
        <w:keepNext/>
        <w:spacing w:after="40"/>
      </w:pPr>
      <w:r>
        <w:rPr>
          <w:b/>
          <w:sz w:val="19"/>
        </w:rPr>
        <w:t>HOG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Image size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32x32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balance between detail and speed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orientations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standard Dalal-Triggs setting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pixels_per_cell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(4, 4)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cell large enough for stable histograms, small enough for pictograms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cells_per_block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(2, 2)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overlapping blocks for local normalisation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block_norm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L2-Hys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robust normalisation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08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g_visua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8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HOG visualisation for sample training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29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vs_hog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Raw pixels vs HOG: dimensionality and PCA variance</w:t>
      </w:r>
    </w:p>
    <w:p>
      <w:pPr>
        <w:pStyle w:val="Heading2"/>
      </w:pPr>
      <w:r>
        <w:t>Feature scaling and selection</w:t>
      </w:r>
    </w:p>
    <w:p>
      <w:r>
        <w:rPr>
          <w:b w:val="0"/>
          <w:i w:val="0"/>
        </w:rPr>
        <w:t>StandardScaler (zero mean, unit variance) is fitted on the training split only and applied to validation/test. No feature selection was applied: HOG vectors are compact, selection on evaluation data risks leakage, and the RBF SVM copes with correlated features. HOG parameters were fixed a priori (not tuned on the test split) and are stored in model_metadata.json so the app reproduces them exactly.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